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val="0"/>
        <w:bidi w:val="0"/>
        <w:spacing w:line="560" w:lineRule="exact"/>
        <w:ind w:left="0" w:leftChars="0" w:firstLine="0" w:firstLineChars="0"/>
        <w:jc w:val="left"/>
        <w:textAlignment w:val="auto"/>
        <w:rPr>
          <w:rFonts w:hint="eastAsia" w:ascii="黑体" w:hAnsi="黑体" w:eastAsia="黑体" w:cs="黑体"/>
          <w:b w:val="0"/>
          <w:bCs w:val="0"/>
          <w:sz w:val="32"/>
          <w:szCs w:val="32"/>
          <w:highlight w:val="none"/>
          <w:lang w:val="en-US" w:eastAsia="zh-CN"/>
        </w:rPr>
      </w:pPr>
      <w:bookmarkStart w:id="0" w:name="_Toc1119"/>
      <w:bookmarkStart w:id="1" w:name="_Toc14217"/>
      <w:r>
        <w:rPr>
          <w:rFonts w:hint="eastAsia" w:ascii="黑体" w:hAnsi="黑体" w:eastAsia="黑体" w:cs="黑体"/>
          <w:sz w:val="32"/>
        </w:rPr>
        <w:t>海南交易〔2025〕28号</w:t>
      </w:r>
      <w:bookmarkStart w:id="164" w:name="_GoBack"/>
      <w:bookmarkEnd w:id="164"/>
      <w:r>
        <w:rPr>
          <w:rFonts w:hint="eastAsia" w:ascii="黑体" w:hAnsi="黑体" w:eastAsia="黑体" w:cs="黑体"/>
          <w:sz w:val="32"/>
        </w:rPr>
        <w:t>附件</w:t>
      </w:r>
      <w:r>
        <w:rPr>
          <w:rFonts w:hint="eastAsia" w:ascii="黑体" w:hAnsi="黑体" w:eastAsia="黑体" w:cs="黑体"/>
          <w:sz w:val="32"/>
          <w:lang w:val="en-US" w:eastAsia="zh-CN"/>
        </w:rPr>
        <w:t>3</w:t>
      </w:r>
    </w:p>
    <w:bookmarkEnd w:id="0"/>
    <w:bookmarkEnd w:id="1"/>
    <w:p>
      <w:pPr>
        <w:pageBreakBefore w:val="0"/>
        <w:kinsoku/>
        <w:wordWrap/>
        <w:overflowPunct/>
        <w:topLinePunct w:val="0"/>
        <w:autoSpaceDE/>
        <w:autoSpaceDN/>
        <w:bidi w:val="0"/>
        <w:adjustRightInd/>
        <w:spacing w:line="560" w:lineRule="exact"/>
        <w:jc w:val="center"/>
        <w:outlineLvl w:val="0"/>
        <w:rPr>
          <w:rFonts w:hint="eastAsia" w:ascii="方正小标宋_GBK" w:hAnsi="方正小标宋_GBK" w:eastAsia="方正小标宋_GBK" w:cs="方正小标宋_GBK"/>
          <w:bCs/>
          <w:color w:val="auto"/>
          <w:sz w:val="44"/>
          <w:szCs w:val="44"/>
          <w:highlight w:val="none"/>
        </w:rPr>
      </w:pPr>
    </w:p>
    <w:p>
      <w:pPr>
        <w:pageBreakBefore w:val="0"/>
        <w:kinsoku/>
        <w:wordWrap/>
        <w:overflowPunct/>
        <w:topLinePunct w:val="0"/>
        <w:autoSpaceDE/>
        <w:autoSpaceDN/>
        <w:bidi w:val="0"/>
        <w:adjustRightInd/>
        <w:spacing w:line="560" w:lineRule="exact"/>
        <w:jc w:val="center"/>
        <w:outlineLvl w:val="0"/>
        <w:rPr>
          <w:rFonts w:hint="eastAsia" w:ascii="方正小标宋_GBK" w:hAnsi="方正小标宋_GBK" w:eastAsia="方正小标宋_GBK" w:cs="方正小标宋_GBK"/>
          <w:bCs/>
          <w:color w:val="auto"/>
          <w:sz w:val="44"/>
          <w:szCs w:val="44"/>
          <w:highlight w:val="none"/>
        </w:rPr>
      </w:pPr>
      <w:r>
        <w:rPr>
          <w:rFonts w:hint="eastAsia" w:ascii="方正小标宋_GBK" w:hAnsi="方正小标宋_GBK" w:eastAsia="方正小标宋_GBK" w:cs="方正小标宋_GBK"/>
          <w:bCs/>
          <w:color w:val="auto"/>
          <w:sz w:val="44"/>
          <w:szCs w:val="44"/>
          <w:highlight w:val="none"/>
        </w:rPr>
        <w:t>海南电力市场结算实施细则</w:t>
      </w:r>
      <w:bookmarkStart w:id="2" w:name="_Toc32732"/>
      <w:bookmarkStart w:id="3" w:name="_Toc20426"/>
    </w:p>
    <w:p>
      <w:pPr>
        <w:pageBreakBefore w:val="0"/>
        <w:kinsoku/>
        <w:wordWrap/>
        <w:overflowPunct/>
        <w:topLinePunct w:val="0"/>
        <w:autoSpaceDE/>
        <w:autoSpaceDN/>
        <w:bidi w:val="0"/>
        <w:adjustRightInd/>
        <w:spacing w:line="560" w:lineRule="exact"/>
        <w:jc w:val="center"/>
        <w:outlineLvl w:val="0"/>
        <w:rPr>
          <w:rFonts w:hint="eastAsia"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en-US" w:eastAsia="zh-CN"/>
        </w:rPr>
        <w:t>（试运行3.0版）</w:t>
      </w:r>
      <w:bookmarkEnd w:id="2"/>
      <w:bookmarkEnd w:id="3"/>
    </w:p>
    <w:p>
      <w:pPr>
        <w:pageBreakBefore w:val="0"/>
        <w:kinsoku/>
        <w:wordWrap/>
        <w:overflowPunct/>
        <w:topLinePunct w:val="0"/>
        <w:autoSpaceDE/>
        <w:autoSpaceDN/>
        <w:bidi w:val="0"/>
        <w:adjustRightInd/>
        <w:spacing w:line="560" w:lineRule="exact"/>
        <w:jc w:val="center"/>
        <w:outlineLvl w:val="0"/>
        <w:rPr>
          <w:rFonts w:hint="eastAsia" w:ascii="方正小标宋_GBK" w:hAnsi="方正小标宋_GBK" w:eastAsia="方正小标宋_GBK" w:cs="方正小标宋_GBK"/>
          <w:bCs/>
          <w:color w:val="auto"/>
          <w:sz w:val="44"/>
          <w:szCs w:val="44"/>
          <w:highlight w:val="none"/>
        </w:rPr>
      </w:pPr>
    </w:p>
    <w:p>
      <w:pPr>
        <w:pStyle w:val="65"/>
        <w:keepNext w:val="0"/>
        <w:keepLines w:val="0"/>
        <w:pageBreakBefore w:val="0"/>
        <w:widowControl w:val="0"/>
        <w:numPr>
          <w:ilvl w:val="0"/>
          <w:numId w:val="10"/>
        </w:numP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黑体" w:hAnsi="黑体" w:eastAsia="黑体" w:cs="黑体"/>
          <w:color w:val="auto"/>
          <w:sz w:val="32"/>
          <w:szCs w:val="32"/>
          <w:highlight w:val="none"/>
        </w:rPr>
      </w:pPr>
      <w:bookmarkStart w:id="4" w:name="_Toc7234"/>
      <w:bookmarkStart w:id="5" w:name="_Toc22938"/>
      <w:r>
        <w:rPr>
          <w:rFonts w:hint="eastAsia" w:ascii="黑体" w:hAnsi="黑体" w:eastAsia="黑体" w:cs="黑体"/>
          <w:color w:val="auto"/>
          <w:sz w:val="32"/>
          <w:szCs w:val="32"/>
          <w:highlight w:val="none"/>
        </w:rPr>
        <w:t>总则</w:t>
      </w:r>
      <w:bookmarkEnd w:id="4"/>
      <w:bookmarkEnd w:id="5"/>
    </w:p>
    <w:p>
      <w:pPr>
        <w:keepNext w:val="0"/>
        <w:keepLines w:val="0"/>
        <w:pageBreakBefore w:val="0"/>
        <w:widowControl w:val="0"/>
        <w:numPr>
          <w:ilvl w:val="1"/>
          <w:numId w:val="11"/>
        </w:numPr>
        <w:kinsoku/>
        <w:wordWrap/>
        <w:overflowPunct/>
        <w:topLinePunct w:val="0"/>
        <w:autoSpaceDE/>
        <w:autoSpaceDN/>
        <w:bidi w:val="0"/>
        <w:adjustRightInd/>
        <w:snapToGrid/>
        <w:spacing w:line="560" w:lineRule="exact"/>
        <w:ind w:left="0" w:leftChars="0" w:firstLine="643" w:firstLineChars="200"/>
        <w:textAlignment w:val="auto"/>
        <w:outlineLvl w:val="1"/>
        <w:rPr>
          <w:rFonts w:hint="eastAsia" w:ascii="仿宋_GB2312" w:hAnsi="仿宋_GB2312" w:eastAsia="仿宋_GB2312" w:cs="仿宋_GB2312"/>
          <w:b/>
          <w:bCs/>
          <w:color w:val="auto"/>
          <w:sz w:val="32"/>
          <w:szCs w:val="32"/>
          <w:highlight w:val="none"/>
          <w:lang w:val="zh-CN"/>
        </w:rPr>
      </w:pPr>
      <w:bookmarkStart w:id="6" w:name="_Toc30122"/>
      <w:bookmarkStart w:id="7" w:name="_Toc31267"/>
      <w:r>
        <w:rPr>
          <w:rFonts w:hint="eastAsia" w:ascii="仿宋_GB2312" w:hAnsi="仿宋_GB2312" w:eastAsia="仿宋_GB2312" w:cs="仿宋_GB2312"/>
          <w:b/>
          <w:bCs/>
          <w:color w:val="auto"/>
          <w:sz w:val="32"/>
          <w:szCs w:val="32"/>
          <w:highlight w:val="none"/>
          <w:lang w:val="zh-CN"/>
        </w:rPr>
        <w:t>制定目的</w:t>
      </w:r>
      <w:bookmarkEnd w:id="6"/>
      <w:bookmarkEnd w:id="7"/>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color w:val="auto"/>
          <w:sz w:val="32"/>
          <w:szCs w:val="32"/>
          <w:highlight w:val="none"/>
        </w:rPr>
      </w:pPr>
      <w:bookmarkStart w:id="8" w:name="_Toc32137"/>
      <w:bookmarkStart w:id="9" w:name="_Toc3096"/>
      <w:r>
        <w:rPr>
          <w:rFonts w:hint="eastAsia" w:ascii="仿宋_GB2312" w:hAnsi="仿宋_GB2312" w:eastAsia="仿宋_GB2312" w:cs="仿宋_GB2312"/>
          <w:color w:val="auto"/>
          <w:sz w:val="32"/>
          <w:szCs w:val="32"/>
          <w:highlight w:val="none"/>
        </w:rPr>
        <w:t>为规范</w:t>
      </w:r>
      <w:r>
        <w:rPr>
          <w:rFonts w:hint="eastAsia" w:ascii="仿宋_GB2312" w:hAnsi="仿宋_GB2312" w:eastAsia="仿宋_GB2312" w:cs="仿宋_GB2312"/>
          <w:color w:val="auto"/>
          <w:sz w:val="32"/>
          <w:szCs w:val="32"/>
          <w:highlight w:val="none"/>
          <w:lang w:val="en-US" w:eastAsia="zh-CN"/>
        </w:rPr>
        <w:t>开展</w:t>
      </w:r>
      <w:r>
        <w:rPr>
          <w:rFonts w:hint="eastAsia" w:ascii="仿宋_GB2312" w:hAnsi="仿宋_GB2312" w:eastAsia="仿宋_GB2312" w:cs="仿宋_GB2312"/>
          <w:color w:val="auto"/>
          <w:sz w:val="32"/>
          <w:szCs w:val="32"/>
          <w:highlight w:val="none"/>
        </w:rPr>
        <w:t>海南电力市场现货结算工作，提高结算服务水平，构建规范、高效、透明的结算机制，</w:t>
      </w:r>
      <w:r>
        <w:rPr>
          <w:rFonts w:hint="eastAsia" w:ascii="仿宋_GB2312" w:hAnsi="仿宋_GB2312" w:eastAsia="仿宋_GB2312" w:cs="仿宋_GB2312"/>
          <w:color w:val="auto"/>
          <w:w w:val="100"/>
          <w:sz w:val="32"/>
          <w:szCs w:val="32"/>
          <w:highlight w:val="none"/>
          <w:lang w:eastAsia="zh-CN"/>
        </w:rPr>
        <w:t>依据《</w:t>
      </w:r>
      <w:r>
        <w:rPr>
          <w:rFonts w:hint="eastAsia" w:ascii="仿宋_GB2312" w:hAnsi="仿宋_GB2312" w:eastAsia="仿宋_GB2312" w:cs="仿宋_GB2312"/>
          <w:color w:val="auto"/>
          <w:w w:val="100"/>
          <w:sz w:val="32"/>
          <w:szCs w:val="32"/>
          <w:highlight w:val="none"/>
          <w:lang w:val="en-US" w:eastAsia="zh-CN"/>
        </w:rPr>
        <w:t>海南电力中长期交易规则</w:t>
      </w:r>
      <w:r>
        <w:rPr>
          <w:rFonts w:hint="eastAsia" w:ascii="仿宋_GB2312" w:hAnsi="仿宋_GB2312" w:eastAsia="仿宋_GB2312" w:cs="仿宋_GB2312"/>
          <w:color w:val="auto"/>
          <w:w w:val="100"/>
          <w:sz w:val="32"/>
          <w:szCs w:val="32"/>
          <w:highlight w:val="none"/>
          <w:lang w:eastAsia="zh-CN"/>
        </w:rPr>
        <w:t>》（</w:t>
      </w:r>
      <w:r>
        <w:rPr>
          <w:rFonts w:hint="eastAsia" w:ascii="仿宋_GB2312" w:hAnsi="仿宋_GB2312" w:eastAsia="仿宋_GB2312" w:cs="仿宋_GB2312"/>
          <w:color w:val="auto"/>
          <w:w w:val="100"/>
          <w:sz w:val="32"/>
          <w:szCs w:val="32"/>
          <w:highlight w:val="none"/>
          <w:lang w:val="en-US" w:eastAsia="zh-CN"/>
        </w:rPr>
        <w:t>南方监能市场〔2022〕92号）</w:t>
      </w:r>
      <w:r>
        <w:rPr>
          <w:rFonts w:hint="eastAsia" w:ascii="仿宋_GB2312" w:hAnsi="仿宋_GB2312" w:eastAsia="仿宋_GB2312" w:cs="仿宋_GB2312"/>
          <w:color w:val="auto"/>
          <w:w w:val="100"/>
          <w:sz w:val="32"/>
          <w:szCs w:val="32"/>
          <w:highlight w:val="none"/>
          <w:lang w:eastAsia="zh-CN"/>
        </w:rPr>
        <w:t>等规定，制定本实施</w:t>
      </w:r>
      <w:r>
        <w:rPr>
          <w:rFonts w:hint="eastAsia" w:ascii="仿宋_GB2312" w:hAnsi="仿宋_GB2312" w:eastAsia="仿宋_GB2312" w:cs="仿宋_GB2312"/>
          <w:color w:val="auto"/>
          <w:spacing w:val="0"/>
          <w:w w:val="100"/>
          <w:sz w:val="32"/>
          <w:szCs w:val="32"/>
          <w:highlight w:val="none"/>
          <w:lang w:eastAsia="zh-CN"/>
        </w:rPr>
        <w:t>细</w:t>
      </w:r>
      <w:r>
        <w:rPr>
          <w:rFonts w:hint="eastAsia" w:ascii="仿宋_GB2312" w:hAnsi="仿宋_GB2312" w:eastAsia="仿宋_GB2312" w:cs="仿宋_GB2312"/>
          <w:color w:val="auto"/>
          <w:w w:val="100"/>
          <w:sz w:val="32"/>
          <w:szCs w:val="32"/>
          <w:highlight w:val="none"/>
          <w:lang w:eastAsia="zh-CN"/>
        </w:rPr>
        <w:t>则。</w:t>
      </w:r>
    </w:p>
    <w:p>
      <w:pPr>
        <w:keepNext w:val="0"/>
        <w:keepLines w:val="0"/>
        <w:pageBreakBefore w:val="0"/>
        <w:widowControl w:val="0"/>
        <w:numPr>
          <w:ilvl w:val="1"/>
          <w:numId w:val="11"/>
        </w:numPr>
        <w:kinsoku/>
        <w:wordWrap/>
        <w:overflowPunct/>
        <w:topLinePunct w:val="0"/>
        <w:autoSpaceDE/>
        <w:autoSpaceDN/>
        <w:bidi w:val="0"/>
        <w:adjustRightInd/>
        <w:snapToGrid/>
        <w:spacing w:line="560" w:lineRule="exact"/>
        <w:ind w:left="0" w:leftChars="0" w:firstLine="643" w:firstLineChars="200"/>
        <w:textAlignment w:val="auto"/>
        <w:outlineLvl w:val="1"/>
        <w:rPr>
          <w:rFonts w:hint="eastAsia" w:ascii="仿宋_GB2312" w:hAnsi="仿宋_GB2312" w:eastAsia="仿宋_GB2312" w:cs="仿宋_GB2312"/>
          <w:b/>
          <w:bCs/>
          <w:color w:val="auto"/>
          <w:sz w:val="32"/>
          <w:szCs w:val="32"/>
          <w:highlight w:val="none"/>
          <w:lang w:val="zh-CN"/>
        </w:rPr>
      </w:pPr>
      <w:r>
        <w:rPr>
          <w:rFonts w:hint="eastAsia" w:ascii="仿宋_GB2312" w:hAnsi="仿宋_GB2312" w:eastAsia="仿宋_GB2312" w:cs="仿宋_GB2312"/>
          <w:b/>
          <w:bCs/>
          <w:color w:val="auto"/>
          <w:sz w:val="32"/>
          <w:szCs w:val="32"/>
          <w:highlight w:val="none"/>
          <w:lang w:val="zh-CN"/>
        </w:rPr>
        <w:t>适用范围</w:t>
      </w:r>
      <w:bookmarkEnd w:id="8"/>
      <w:bookmarkEnd w:id="9"/>
    </w:p>
    <w:p>
      <w:pPr>
        <w:pStyle w:val="32"/>
        <w:keepNext w:val="0"/>
        <w:keepLines w:val="0"/>
        <w:pageBreakBefore w:val="0"/>
        <w:numPr>
          <w:ilvl w:val="0"/>
          <w:numId w:val="0"/>
        </w:numPr>
        <w:kinsoku/>
        <w:wordWrap/>
        <w:overflowPunct/>
        <w:topLinePunct w:val="0"/>
        <w:autoSpaceDE/>
        <w:autoSpaceDN/>
        <w:bidi w:val="0"/>
        <w:adjustRightInd/>
        <w:spacing w:line="560" w:lineRule="exact"/>
        <w:ind w:firstLine="640" w:firstLineChars="200"/>
        <w:outlineLvl w:val="9"/>
        <w:rPr>
          <w:rFonts w:hint="eastAsia" w:ascii="仿宋_GB2312" w:hAnsi="仿宋_GB2312" w:eastAsia="仿宋_GB2312" w:cs="仿宋_GB2312"/>
          <w:b w:val="0"/>
          <w:bCs w:val="0"/>
          <w:color w:val="auto"/>
          <w:kern w:val="2"/>
          <w:sz w:val="32"/>
          <w:szCs w:val="32"/>
          <w:highlight w:val="none"/>
        </w:rPr>
      </w:pPr>
      <w:r>
        <w:rPr>
          <w:rFonts w:hint="eastAsia" w:ascii="仿宋_GB2312" w:hAnsi="仿宋_GB2312" w:eastAsia="仿宋_GB2312" w:cs="仿宋_GB2312"/>
          <w:b w:val="0"/>
          <w:bCs w:val="0"/>
          <w:color w:val="auto"/>
          <w:kern w:val="2"/>
          <w:sz w:val="32"/>
          <w:szCs w:val="32"/>
          <w:highlight w:val="none"/>
        </w:rPr>
        <w:t>本细则主要适用于海南电力现货市场电能量交易结算，内容包括：市场结算主要职责、结算原则、结算流程、批发市场结算、零售市场结算、退补管理、分摊及返还电费及其他事项。</w:t>
      </w:r>
    </w:p>
    <w:p>
      <w:pPr>
        <w:pStyle w:val="32"/>
        <w:keepNext w:val="0"/>
        <w:keepLines w:val="0"/>
        <w:pageBreakBefore w:val="0"/>
        <w:numPr>
          <w:ilvl w:val="0"/>
          <w:numId w:val="0"/>
        </w:numPr>
        <w:kinsoku/>
        <w:wordWrap/>
        <w:overflowPunct/>
        <w:topLinePunct w:val="0"/>
        <w:autoSpaceDE/>
        <w:autoSpaceDN/>
        <w:bidi w:val="0"/>
        <w:adjustRightInd/>
        <w:spacing w:line="560" w:lineRule="exact"/>
        <w:ind w:firstLine="640" w:firstLineChars="200"/>
        <w:outlineLvl w:val="9"/>
        <w:rPr>
          <w:rFonts w:hint="eastAsia" w:ascii="仿宋_GB2312" w:hAnsi="仿宋_GB2312" w:eastAsia="仿宋_GB2312" w:cs="仿宋_GB2312"/>
          <w:b w:val="0"/>
          <w:bCs w:val="0"/>
          <w:color w:val="auto"/>
          <w:kern w:val="2"/>
          <w:sz w:val="32"/>
          <w:szCs w:val="32"/>
          <w:highlight w:val="none"/>
        </w:rPr>
      </w:pPr>
      <w:r>
        <w:rPr>
          <w:rFonts w:hint="eastAsia" w:ascii="仿宋_GB2312" w:hAnsi="仿宋_GB2312" w:eastAsia="仿宋_GB2312" w:cs="仿宋_GB2312"/>
          <w:b w:val="0"/>
          <w:bCs w:val="0"/>
          <w:color w:val="auto"/>
          <w:kern w:val="2"/>
          <w:sz w:val="32"/>
          <w:szCs w:val="32"/>
          <w:highlight w:val="none"/>
        </w:rPr>
        <w:t>涉及需求侧响应的交易结算，按照相关规定执行。</w:t>
      </w:r>
    </w:p>
    <w:p>
      <w:pPr>
        <w:pStyle w:val="65"/>
        <w:keepNext w:val="0"/>
        <w:keepLines w:val="0"/>
        <w:pageBreakBefore w:val="0"/>
        <w:widowControl w:val="0"/>
        <w:numPr>
          <w:ilvl w:val="0"/>
          <w:numId w:val="10"/>
        </w:numP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黑体" w:hAnsi="黑体" w:eastAsia="黑体" w:cs="黑体"/>
          <w:color w:val="auto"/>
          <w:sz w:val="32"/>
          <w:szCs w:val="32"/>
          <w:highlight w:val="none"/>
          <w:lang w:val="zh-CN"/>
        </w:rPr>
      </w:pPr>
      <w:bookmarkStart w:id="10" w:name="_Toc23902_WPSOffice_Level1"/>
      <w:bookmarkStart w:id="11" w:name="_Toc24112_WPSOffice_Level1"/>
      <w:bookmarkStart w:id="12" w:name="_Toc5517"/>
      <w:bookmarkStart w:id="13" w:name="_Toc16967"/>
      <w:bookmarkStart w:id="14" w:name="_Toc11354"/>
      <w:bookmarkStart w:id="15" w:name="_Toc18218"/>
      <w:bookmarkStart w:id="16" w:name="_Toc10121"/>
      <w:r>
        <w:rPr>
          <w:rFonts w:hint="eastAsia" w:ascii="黑体" w:hAnsi="黑体" w:eastAsia="黑体" w:cs="黑体"/>
          <w:color w:val="auto"/>
          <w:sz w:val="32"/>
          <w:szCs w:val="32"/>
          <w:highlight w:val="none"/>
        </w:rPr>
        <w:t>市场结算主要职责</w:t>
      </w:r>
      <w:bookmarkEnd w:id="10"/>
      <w:bookmarkEnd w:id="11"/>
      <w:bookmarkEnd w:id="12"/>
      <w:bookmarkEnd w:id="13"/>
      <w:bookmarkEnd w:id="14"/>
      <w:bookmarkEnd w:id="15"/>
      <w:bookmarkEnd w:id="16"/>
    </w:p>
    <w:p>
      <w:pPr>
        <w:pageBreakBefore w:val="0"/>
        <w:numPr>
          <w:ilvl w:val="1"/>
          <w:numId w:val="12"/>
        </w:numPr>
        <w:kinsoku/>
        <w:wordWrap/>
        <w:overflowPunct/>
        <w:topLinePunct w:val="0"/>
        <w:autoSpaceDE/>
        <w:autoSpaceDN/>
        <w:bidi w:val="0"/>
        <w:adjustRightInd/>
        <w:spacing w:line="560" w:lineRule="exact"/>
        <w:ind w:left="0" w:firstLine="643" w:firstLineChars="200"/>
        <w:outlineLvl w:val="1"/>
        <w:rPr>
          <w:rFonts w:ascii="仿宋_GB2312" w:hAnsi="仿宋_GB2312" w:eastAsia="仿宋_GB2312" w:cs="仿宋_GB2312"/>
          <w:b/>
          <w:bCs/>
          <w:color w:val="auto"/>
          <w:sz w:val="32"/>
          <w:szCs w:val="32"/>
          <w:highlight w:val="none"/>
        </w:rPr>
      </w:pPr>
      <w:bookmarkStart w:id="17" w:name="_Toc13536"/>
      <w:bookmarkStart w:id="18" w:name="_Toc9057"/>
      <w:bookmarkStart w:id="19" w:name="_Toc5295"/>
      <w:bookmarkStart w:id="20" w:name="_Toc501006515"/>
      <w:bookmarkStart w:id="21" w:name="_Toc21751"/>
      <w:bookmarkStart w:id="22" w:name="_Toc13803"/>
      <w:r>
        <w:rPr>
          <w:rFonts w:hint="eastAsia" w:ascii="仿宋_GB2312" w:hAnsi="仿宋_GB2312" w:eastAsia="仿宋_GB2312" w:cs="仿宋_GB2312"/>
          <w:b/>
          <w:bCs/>
          <w:color w:val="auto"/>
          <w:sz w:val="32"/>
          <w:szCs w:val="32"/>
          <w:highlight w:val="none"/>
          <w:lang w:val="zh-CN"/>
        </w:rPr>
        <w:t>发电企业</w:t>
      </w:r>
      <w:r>
        <w:rPr>
          <w:rFonts w:hint="eastAsia" w:ascii="仿宋_GB2312" w:hAnsi="仿宋_GB2312" w:eastAsia="仿宋_GB2312" w:cs="仿宋_GB2312"/>
          <w:b/>
          <w:bCs/>
          <w:color w:val="auto"/>
          <w:sz w:val="32"/>
          <w:szCs w:val="32"/>
          <w:highlight w:val="none"/>
        </w:rPr>
        <w:t>职</w:t>
      </w:r>
      <w:r>
        <w:rPr>
          <w:rFonts w:hint="eastAsia" w:ascii="仿宋_GB2312" w:hAnsi="仿宋_GB2312" w:eastAsia="仿宋_GB2312" w:cs="仿宋_GB2312"/>
          <w:b/>
          <w:bCs/>
          <w:color w:val="auto"/>
          <w:sz w:val="32"/>
          <w:szCs w:val="32"/>
          <w:highlight w:val="none"/>
          <w:lang w:val="zh-CN"/>
        </w:rPr>
        <w:t>责</w:t>
      </w:r>
      <w:bookmarkEnd w:id="17"/>
      <w:bookmarkEnd w:id="18"/>
    </w:p>
    <w:p>
      <w:pPr>
        <w:pageBreakBefore w:val="0"/>
        <w:numPr>
          <w:ilvl w:val="2"/>
          <w:numId w:val="12"/>
        </w:numPr>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zh-CN"/>
        </w:rPr>
        <w:t>按照规则（细则）参与市场交易，签订和履行交易合同，按规定完成电费结算、支付交易服务费等。</w:t>
      </w:r>
    </w:p>
    <w:p>
      <w:pPr>
        <w:pageBreakBefore w:val="0"/>
        <w:numPr>
          <w:ilvl w:val="2"/>
          <w:numId w:val="12"/>
        </w:numPr>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获取、查看其在各历史交易日、各历史结算时段的结算明细。</w:t>
      </w:r>
    </w:p>
    <w:p>
      <w:pPr>
        <w:numPr>
          <w:ilvl w:val="2"/>
          <w:numId w:val="12"/>
        </w:numPr>
        <w:spacing w:line="560" w:lineRule="exact"/>
        <w:ind w:left="0" w:firstLine="640" w:firstLineChars="200"/>
        <w:rPr>
          <w:rFonts w:hint="default" w:eastAsia="仿宋_GB2312"/>
          <w:color w:val="auto"/>
          <w:highlight w:val="none"/>
          <w:lang w:val="en-US" w:eastAsia="zh-CN"/>
        </w:rPr>
      </w:pPr>
      <w:r>
        <w:rPr>
          <w:rFonts w:hint="eastAsia" w:ascii="仿宋_GB2312" w:hAnsi="仿宋_GB2312" w:eastAsia="仿宋_GB2312" w:cs="仿宋_GB2312"/>
          <w:color w:val="auto"/>
          <w:sz w:val="32"/>
          <w:szCs w:val="32"/>
          <w:highlight w:val="none"/>
        </w:rPr>
        <w:t>在临时结算结果公示后审核确认本企业结算结果并反馈意见。</w:t>
      </w:r>
    </w:p>
    <w:p>
      <w:pPr>
        <w:pageBreakBefore w:val="0"/>
        <w:numPr>
          <w:ilvl w:val="1"/>
          <w:numId w:val="12"/>
        </w:numPr>
        <w:kinsoku/>
        <w:wordWrap/>
        <w:overflowPunct/>
        <w:topLinePunct w:val="0"/>
        <w:autoSpaceDE/>
        <w:autoSpaceDN/>
        <w:bidi w:val="0"/>
        <w:adjustRightInd/>
        <w:spacing w:line="560" w:lineRule="exact"/>
        <w:ind w:left="0" w:firstLine="643" w:firstLineChars="200"/>
        <w:outlineLvl w:val="1"/>
        <w:rPr>
          <w:rFonts w:ascii="仿宋_GB2312" w:hAnsi="仿宋_GB2312" w:eastAsia="仿宋_GB2312" w:cs="仿宋_GB2312"/>
          <w:b/>
          <w:bCs/>
          <w:color w:val="auto"/>
          <w:sz w:val="32"/>
          <w:szCs w:val="32"/>
          <w:highlight w:val="none"/>
        </w:rPr>
      </w:pPr>
      <w:bookmarkStart w:id="23" w:name="_Toc32261"/>
      <w:bookmarkStart w:id="24" w:name="_Toc16131"/>
      <w:r>
        <w:rPr>
          <w:rFonts w:hint="eastAsia" w:ascii="仿宋_GB2312" w:hAnsi="仿宋_GB2312" w:eastAsia="仿宋_GB2312" w:cs="仿宋_GB2312"/>
          <w:b/>
          <w:bCs/>
          <w:color w:val="auto"/>
          <w:sz w:val="32"/>
          <w:szCs w:val="32"/>
          <w:highlight w:val="none"/>
          <w:lang w:val="zh-CN"/>
        </w:rPr>
        <w:t>电力用户</w:t>
      </w:r>
      <w:bookmarkEnd w:id="23"/>
      <w:bookmarkEnd w:id="24"/>
      <w:r>
        <w:rPr>
          <w:rFonts w:hint="eastAsia" w:ascii="仿宋_GB2312" w:hAnsi="仿宋_GB2312" w:eastAsia="仿宋_GB2312" w:cs="仿宋_GB2312"/>
          <w:b/>
          <w:bCs/>
          <w:color w:val="auto"/>
          <w:sz w:val="32"/>
          <w:szCs w:val="32"/>
          <w:highlight w:val="none"/>
        </w:rPr>
        <w:t>职</w:t>
      </w:r>
      <w:r>
        <w:rPr>
          <w:rFonts w:hint="eastAsia" w:ascii="仿宋_GB2312" w:hAnsi="仿宋_GB2312" w:eastAsia="仿宋_GB2312" w:cs="仿宋_GB2312"/>
          <w:b/>
          <w:bCs/>
          <w:color w:val="auto"/>
          <w:sz w:val="32"/>
          <w:szCs w:val="32"/>
          <w:highlight w:val="none"/>
          <w:lang w:val="zh-CN"/>
        </w:rPr>
        <w:t>责</w:t>
      </w:r>
    </w:p>
    <w:p>
      <w:pPr>
        <w:pageBreakBefore w:val="0"/>
        <w:numPr>
          <w:ilvl w:val="2"/>
          <w:numId w:val="12"/>
        </w:numPr>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zh-CN"/>
        </w:rPr>
        <w:t>按照规则（细则）参与市场交易，签订和履行交易合同</w:t>
      </w:r>
      <w:r>
        <w:rPr>
          <w:rFonts w:hint="eastAsia" w:ascii="仿宋_GB2312" w:hAnsi="仿宋_GB2312" w:eastAsia="仿宋_GB2312" w:cs="仿宋_GB2312"/>
          <w:color w:val="auto"/>
          <w:sz w:val="32"/>
          <w:szCs w:val="32"/>
          <w:highlight w:val="none"/>
        </w:rPr>
        <w:t>。</w:t>
      </w:r>
    </w:p>
    <w:p>
      <w:pPr>
        <w:pageBreakBefore w:val="0"/>
        <w:numPr>
          <w:ilvl w:val="2"/>
          <w:numId w:val="12"/>
        </w:numPr>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获取相关方履行合同的信息、资料及查阅计量数据。</w:t>
      </w:r>
    </w:p>
    <w:p>
      <w:pPr>
        <w:pageBreakBefore w:val="0"/>
        <w:numPr>
          <w:ilvl w:val="2"/>
          <w:numId w:val="12"/>
        </w:numPr>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获取、查看其在各历史交易日、各历史结算时段的结算明细。</w:t>
      </w:r>
    </w:p>
    <w:p>
      <w:pPr>
        <w:pageBreakBefore w:val="0"/>
        <w:numPr>
          <w:ilvl w:val="2"/>
          <w:numId w:val="12"/>
        </w:numPr>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按时足额缴纳电能量电费、输配电费和政府性基金及附加</w:t>
      </w:r>
      <w:r>
        <w:rPr>
          <w:rFonts w:hint="eastAsia" w:ascii="仿宋_GB2312" w:hAnsi="仿宋_GB2312" w:eastAsia="仿宋_GB2312" w:cs="仿宋_GB2312"/>
          <w:color w:val="auto"/>
          <w:sz w:val="32"/>
          <w:szCs w:val="32"/>
          <w:highlight w:val="none"/>
          <w:lang w:val="zh-CN"/>
        </w:rPr>
        <w:t>、交易服务费</w:t>
      </w:r>
      <w:r>
        <w:rPr>
          <w:rFonts w:hint="eastAsia" w:ascii="仿宋_GB2312" w:hAnsi="仿宋_GB2312" w:eastAsia="仿宋_GB2312" w:cs="仿宋_GB2312"/>
          <w:color w:val="auto"/>
          <w:sz w:val="32"/>
          <w:szCs w:val="32"/>
          <w:highlight w:val="none"/>
        </w:rPr>
        <w:t>等费用。</w:t>
      </w:r>
    </w:p>
    <w:p>
      <w:pPr>
        <w:pageBreakBefore w:val="0"/>
        <w:numPr>
          <w:ilvl w:val="2"/>
          <w:numId w:val="12"/>
        </w:numPr>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在临时结算结果公示后审核确认本企业结算结果并反馈意见。</w:t>
      </w:r>
    </w:p>
    <w:p>
      <w:pPr>
        <w:pageBreakBefore w:val="0"/>
        <w:numPr>
          <w:ilvl w:val="1"/>
          <w:numId w:val="12"/>
        </w:numPr>
        <w:kinsoku/>
        <w:wordWrap/>
        <w:overflowPunct/>
        <w:topLinePunct w:val="0"/>
        <w:autoSpaceDE/>
        <w:autoSpaceDN/>
        <w:bidi w:val="0"/>
        <w:adjustRightInd/>
        <w:spacing w:line="560" w:lineRule="exact"/>
        <w:ind w:left="0" w:firstLine="643" w:firstLineChars="200"/>
        <w:outlineLvl w:val="1"/>
        <w:rPr>
          <w:rFonts w:ascii="仿宋_GB2312" w:hAnsi="仿宋_GB2312" w:eastAsia="仿宋_GB2312" w:cs="仿宋_GB2312"/>
          <w:b/>
          <w:bCs/>
          <w:color w:val="auto"/>
          <w:sz w:val="32"/>
          <w:szCs w:val="32"/>
          <w:highlight w:val="none"/>
        </w:rPr>
      </w:pPr>
      <w:bookmarkStart w:id="25" w:name="_Toc24235"/>
      <w:bookmarkStart w:id="26" w:name="_Toc2192"/>
      <w:r>
        <w:rPr>
          <w:rFonts w:hint="eastAsia" w:ascii="仿宋_GB2312" w:hAnsi="仿宋_GB2312" w:eastAsia="仿宋_GB2312" w:cs="仿宋_GB2312"/>
          <w:b/>
          <w:bCs/>
          <w:color w:val="auto"/>
          <w:sz w:val="32"/>
          <w:szCs w:val="32"/>
          <w:highlight w:val="none"/>
          <w:lang w:val="zh-CN"/>
        </w:rPr>
        <w:t>售电公司</w:t>
      </w:r>
      <w:bookmarkEnd w:id="25"/>
      <w:bookmarkEnd w:id="26"/>
      <w:r>
        <w:rPr>
          <w:rFonts w:hint="eastAsia" w:ascii="仿宋_GB2312" w:hAnsi="仿宋_GB2312" w:eastAsia="仿宋_GB2312" w:cs="仿宋_GB2312"/>
          <w:b/>
          <w:bCs/>
          <w:color w:val="auto"/>
          <w:sz w:val="32"/>
          <w:szCs w:val="32"/>
          <w:highlight w:val="none"/>
        </w:rPr>
        <w:t>职</w:t>
      </w:r>
      <w:r>
        <w:rPr>
          <w:rFonts w:hint="eastAsia" w:ascii="仿宋_GB2312" w:hAnsi="仿宋_GB2312" w:eastAsia="仿宋_GB2312" w:cs="仿宋_GB2312"/>
          <w:b/>
          <w:bCs/>
          <w:color w:val="auto"/>
          <w:sz w:val="32"/>
          <w:szCs w:val="32"/>
          <w:highlight w:val="none"/>
          <w:lang w:val="zh-CN"/>
        </w:rPr>
        <w:t>责</w:t>
      </w:r>
    </w:p>
    <w:p>
      <w:pPr>
        <w:pageBreakBefore w:val="0"/>
        <w:numPr>
          <w:ilvl w:val="2"/>
          <w:numId w:val="12"/>
        </w:numPr>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按照规则（细则）参与市场交易，签订和履行交易合同、结算合同。</w:t>
      </w:r>
    </w:p>
    <w:p>
      <w:pPr>
        <w:pageBreakBefore w:val="0"/>
        <w:numPr>
          <w:ilvl w:val="2"/>
          <w:numId w:val="12"/>
        </w:numPr>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在合同有效期内依据合同获取相关方履行合同的信息、资料及查阅计量数据。</w:t>
      </w:r>
    </w:p>
    <w:p>
      <w:pPr>
        <w:pageBreakBefore w:val="0"/>
        <w:numPr>
          <w:ilvl w:val="2"/>
          <w:numId w:val="12"/>
        </w:numPr>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获取、查看其在各历史交易日、各历史结算时段的结算明细。</w:t>
      </w:r>
    </w:p>
    <w:p>
      <w:pPr>
        <w:pageBreakBefore w:val="0"/>
        <w:numPr>
          <w:ilvl w:val="2"/>
          <w:numId w:val="12"/>
        </w:numPr>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向电网企业支付或收取电费。</w:t>
      </w:r>
    </w:p>
    <w:p>
      <w:pPr>
        <w:pageBreakBefore w:val="0"/>
        <w:numPr>
          <w:ilvl w:val="2"/>
          <w:numId w:val="12"/>
        </w:numPr>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向交易中心支付交易服务费。</w:t>
      </w:r>
    </w:p>
    <w:p>
      <w:pPr>
        <w:pageBreakBefore w:val="0"/>
        <w:numPr>
          <w:ilvl w:val="2"/>
          <w:numId w:val="12"/>
        </w:numPr>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在交易系统完成合同签订与备案。</w:t>
      </w:r>
    </w:p>
    <w:p>
      <w:pPr>
        <w:pageBreakBefore w:val="0"/>
        <w:numPr>
          <w:ilvl w:val="2"/>
          <w:numId w:val="12"/>
        </w:numPr>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在临时结算结果公示后审核确认本企业结算结果并反馈意见。</w:t>
      </w:r>
    </w:p>
    <w:p>
      <w:pPr>
        <w:pageBreakBefore w:val="0"/>
        <w:numPr>
          <w:ilvl w:val="2"/>
          <w:numId w:val="12"/>
        </w:numPr>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拥有配电网运营权的售电公司根据政府有关规定开展电费结算。</w:t>
      </w:r>
    </w:p>
    <w:p>
      <w:pPr>
        <w:pageBreakBefore w:val="0"/>
        <w:numPr>
          <w:ilvl w:val="1"/>
          <w:numId w:val="12"/>
        </w:numPr>
        <w:kinsoku/>
        <w:wordWrap/>
        <w:overflowPunct/>
        <w:topLinePunct w:val="0"/>
        <w:autoSpaceDE/>
        <w:autoSpaceDN/>
        <w:bidi w:val="0"/>
        <w:adjustRightInd/>
        <w:spacing w:line="560" w:lineRule="exact"/>
        <w:ind w:left="0" w:firstLine="643" w:firstLineChars="200"/>
        <w:outlineLvl w:val="1"/>
        <w:rPr>
          <w:rFonts w:ascii="仿宋_GB2312" w:hAnsi="仿宋_GB2312" w:eastAsia="仿宋_GB2312" w:cs="仿宋_GB2312"/>
          <w:b/>
          <w:bCs/>
          <w:color w:val="auto"/>
          <w:sz w:val="32"/>
          <w:szCs w:val="32"/>
          <w:highlight w:val="none"/>
          <w:lang w:val="zh-CN"/>
        </w:rPr>
      </w:pPr>
      <w:bookmarkStart w:id="27" w:name="_Toc14529"/>
      <w:bookmarkStart w:id="28" w:name="_Toc13349"/>
      <w:r>
        <w:rPr>
          <w:rFonts w:hint="eastAsia" w:ascii="仿宋_GB2312" w:hAnsi="仿宋_GB2312" w:eastAsia="仿宋_GB2312" w:cs="仿宋_GB2312"/>
          <w:b/>
          <w:bCs/>
          <w:color w:val="auto"/>
          <w:sz w:val="32"/>
          <w:szCs w:val="32"/>
          <w:highlight w:val="none"/>
          <w:lang w:val="zh-CN"/>
        </w:rPr>
        <w:t>电网企业</w:t>
      </w:r>
      <w:bookmarkEnd w:id="27"/>
      <w:bookmarkEnd w:id="28"/>
      <w:bookmarkStart w:id="29" w:name="_Toc24234"/>
      <w:r>
        <w:rPr>
          <w:rFonts w:hint="eastAsia" w:ascii="仿宋_GB2312" w:hAnsi="仿宋_GB2312" w:eastAsia="仿宋_GB2312" w:cs="仿宋_GB2312"/>
          <w:b/>
          <w:bCs/>
          <w:color w:val="auto"/>
          <w:sz w:val="32"/>
          <w:szCs w:val="32"/>
          <w:highlight w:val="none"/>
        </w:rPr>
        <w:t>职</w:t>
      </w:r>
      <w:r>
        <w:rPr>
          <w:rFonts w:hint="eastAsia" w:ascii="仿宋_GB2312" w:hAnsi="仿宋_GB2312" w:eastAsia="仿宋_GB2312" w:cs="仿宋_GB2312"/>
          <w:b/>
          <w:bCs/>
          <w:color w:val="auto"/>
          <w:sz w:val="32"/>
          <w:szCs w:val="32"/>
          <w:highlight w:val="none"/>
          <w:lang w:val="zh-CN"/>
        </w:rPr>
        <w:t>责</w:t>
      </w:r>
    </w:p>
    <w:p>
      <w:pPr>
        <w:pageBreakBefore w:val="0"/>
        <w:numPr>
          <w:ilvl w:val="2"/>
          <w:numId w:val="12"/>
        </w:numPr>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按照规则（细则）参与市场交易，履行交易合同</w:t>
      </w:r>
      <w:r>
        <w:rPr>
          <w:rFonts w:hint="eastAsia" w:ascii="仿宋_GB2312" w:hAnsi="仿宋_GB2312" w:eastAsia="仿宋_GB2312" w:cs="仿宋_GB2312"/>
          <w:color w:val="auto"/>
          <w:sz w:val="32"/>
          <w:szCs w:val="32"/>
          <w:highlight w:val="none"/>
          <w:lang w:val="en-US" w:eastAsia="zh-CN"/>
        </w:rPr>
        <w:t>。</w:t>
      </w:r>
    </w:p>
    <w:p>
      <w:pPr>
        <w:pageBreakBefore w:val="0"/>
        <w:numPr>
          <w:ilvl w:val="2"/>
          <w:numId w:val="12"/>
        </w:numPr>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提供输配电服务，无歧视向电力用户提供报装、计量、抄表、维修、收费等各类电网服务，按规定收取输配电费等。</w:t>
      </w:r>
    </w:p>
    <w:p>
      <w:pPr>
        <w:pageBreakBefore w:val="0"/>
        <w:numPr>
          <w:ilvl w:val="2"/>
          <w:numId w:val="12"/>
        </w:numPr>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负责向交易中心提供每天24小时各时段机组上网电量、机组上网电价、近三年历史上网电量；提供市场用户每天24小时各时段实际用电量和近三年历史用电量等结算准备数据。</w:t>
      </w:r>
    </w:p>
    <w:p>
      <w:pPr>
        <w:pageBreakBefore w:val="0"/>
        <w:numPr>
          <w:ilvl w:val="2"/>
          <w:numId w:val="12"/>
        </w:numPr>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根据交易中心出具的结算依据，按照政府性基金及附加等政策要求，出具经营主体的电费账单，负责经营主体的电费结算及收付，及时向交易中心反馈市场电费缴付情况。</w:t>
      </w:r>
    </w:p>
    <w:p>
      <w:pPr>
        <w:pageBreakBefore w:val="0"/>
        <w:numPr>
          <w:ilvl w:val="2"/>
          <w:numId w:val="12"/>
        </w:numPr>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按照有关规定，将经营主体的结算信息和数据进行涉密管理。</w:t>
      </w:r>
    </w:p>
    <w:bookmarkEnd w:id="19"/>
    <w:bookmarkEnd w:id="20"/>
    <w:bookmarkEnd w:id="21"/>
    <w:bookmarkEnd w:id="22"/>
    <w:bookmarkEnd w:id="29"/>
    <w:p>
      <w:pPr>
        <w:pageBreakBefore w:val="0"/>
        <w:numPr>
          <w:ilvl w:val="1"/>
          <w:numId w:val="12"/>
        </w:numPr>
        <w:kinsoku/>
        <w:wordWrap/>
        <w:overflowPunct/>
        <w:topLinePunct w:val="0"/>
        <w:autoSpaceDE/>
        <w:autoSpaceDN/>
        <w:bidi w:val="0"/>
        <w:adjustRightInd/>
        <w:spacing w:line="560" w:lineRule="exact"/>
        <w:ind w:left="0" w:firstLine="643" w:firstLineChars="200"/>
        <w:outlineLvl w:val="1"/>
        <w:rPr>
          <w:rFonts w:ascii="仿宋_GB2312" w:hAnsi="仿宋_GB2312" w:eastAsia="仿宋_GB2312" w:cs="仿宋_GB2312"/>
          <w:b/>
          <w:bCs/>
          <w:color w:val="auto"/>
          <w:sz w:val="32"/>
          <w:szCs w:val="32"/>
          <w:highlight w:val="none"/>
          <w:lang w:val="zh-CN"/>
        </w:rPr>
      </w:pPr>
      <w:bookmarkStart w:id="30" w:name="_Toc6863"/>
      <w:bookmarkStart w:id="31" w:name="_Toc25017"/>
      <w:bookmarkStart w:id="32" w:name="_Toc16225"/>
      <w:bookmarkStart w:id="33" w:name="_Toc23152"/>
      <w:bookmarkStart w:id="34" w:name="_Toc3262"/>
      <w:bookmarkStart w:id="35" w:name="_Toc3852"/>
      <w:r>
        <w:rPr>
          <w:rFonts w:hint="eastAsia" w:ascii="仿宋_GB2312" w:hAnsi="仿宋_GB2312" w:eastAsia="仿宋_GB2312" w:cs="仿宋_GB2312"/>
          <w:b/>
          <w:bCs/>
          <w:color w:val="auto"/>
          <w:sz w:val="32"/>
          <w:szCs w:val="32"/>
          <w:highlight w:val="none"/>
          <w:lang w:val="zh-CN"/>
        </w:rPr>
        <w:t>电力调度机构</w:t>
      </w:r>
      <w:r>
        <w:rPr>
          <w:rFonts w:hint="eastAsia" w:ascii="仿宋_GB2312" w:hAnsi="仿宋_GB2312" w:eastAsia="仿宋_GB2312" w:cs="仿宋_GB2312"/>
          <w:b/>
          <w:bCs/>
          <w:color w:val="auto"/>
          <w:sz w:val="32"/>
          <w:szCs w:val="32"/>
          <w:highlight w:val="none"/>
        </w:rPr>
        <w:t>职</w:t>
      </w:r>
      <w:r>
        <w:rPr>
          <w:rFonts w:hint="eastAsia" w:ascii="仿宋_GB2312" w:hAnsi="仿宋_GB2312" w:eastAsia="仿宋_GB2312" w:cs="仿宋_GB2312"/>
          <w:b/>
          <w:bCs/>
          <w:color w:val="auto"/>
          <w:sz w:val="32"/>
          <w:szCs w:val="32"/>
          <w:highlight w:val="none"/>
          <w:lang w:val="zh-CN"/>
        </w:rPr>
        <w:t>责</w:t>
      </w:r>
    </w:p>
    <w:p>
      <w:pPr>
        <w:pageBreakBefore w:val="0"/>
        <w:numPr>
          <w:ilvl w:val="2"/>
          <w:numId w:val="12"/>
        </w:numPr>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rPr>
        <w:t>负责向交易中心提供发电企业运行补偿费用、</w:t>
      </w:r>
      <w:r>
        <w:rPr>
          <w:rFonts w:hint="eastAsia" w:ascii="仿宋_GB2312" w:hAnsi="仿宋_GB2312" w:eastAsia="仿宋_GB2312" w:cs="仿宋_GB2312"/>
          <w:color w:val="auto"/>
          <w:sz w:val="32"/>
          <w:szCs w:val="32"/>
          <w:highlight w:val="none"/>
          <w:lang w:eastAsia="zh-CN"/>
        </w:rPr>
        <w:t>启动补偿费用、</w:t>
      </w:r>
      <w:r>
        <w:rPr>
          <w:rFonts w:hint="eastAsia" w:ascii="仿宋_GB2312" w:hAnsi="仿宋_GB2312" w:eastAsia="仿宋_GB2312" w:cs="仿宋_GB2312"/>
          <w:color w:val="auto"/>
          <w:sz w:val="32"/>
          <w:szCs w:val="32"/>
          <w:highlight w:val="none"/>
        </w:rPr>
        <w:t>机组日内临时非计划停运偏差费用返还、机组实时发电计划执行偏差费用返还、机组限高考核电费、机组限低考核电费、供热机组申报供热流量曲线偏差率考核电费等数据。</w:t>
      </w:r>
    </w:p>
    <w:p>
      <w:pPr>
        <w:pageBreakBefore w:val="0"/>
        <w:numPr>
          <w:ilvl w:val="2"/>
          <w:numId w:val="12"/>
        </w:numPr>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配合交易</w:t>
      </w:r>
      <w:r>
        <w:rPr>
          <w:rFonts w:hint="eastAsia" w:ascii="仿宋_GB2312" w:hAnsi="仿宋_GB2312" w:eastAsia="仿宋_GB2312" w:cs="仿宋_GB2312"/>
          <w:color w:val="auto"/>
          <w:sz w:val="32"/>
          <w:szCs w:val="32"/>
          <w:highlight w:val="none"/>
        </w:rPr>
        <w:t>中心</w:t>
      </w:r>
      <w:r>
        <w:rPr>
          <w:rFonts w:hint="eastAsia" w:ascii="仿宋_GB2312" w:hAnsi="仿宋_GB2312" w:eastAsia="仿宋_GB2312" w:cs="仿宋_GB2312"/>
          <w:color w:val="auto"/>
          <w:sz w:val="32"/>
          <w:szCs w:val="32"/>
          <w:highlight w:val="none"/>
          <w:lang w:val="zh-CN"/>
        </w:rPr>
        <w:t>出具结算依据，参与协调</w:t>
      </w:r>
      <w:r>
        <w:rPr>
          <w:rFonts w:hint="eastAsia" w:ascii="仿宋_GB2312" w:hAnsi="仿宋_GB2312" w:eastAsia="仿宋_GB2312" w:cs="仿宋_GB2312"/>
          <w:color w:val="auto"/>
          <w:sz w:val="32"/>
          <w:szCs w:val="32"/>
          <w:highlight w:val="none"/>
        </w:rPr>
        <w:t>省内市场</w:t>
      </w:r>
      <w:r>
        <w:rPr>
          <w:rFonts w:hint="eastAsia" w:ascii="仿宋_GB2312" w:hAnsi="仿宋_GB2312" w:eastAsia="仿宋_GB2312" w:cs="仿宋_GB2312"/>
          <w:color w:val="auto"/>
          <w:sz w:val="32"/>
          <w:szCs w:val="32"/>
          <w:highlight w:val="none"/>
          <w:lang w:val="zh-CN"/>
        </w:rPr>
        <w:t>交易结算问题。</w:t>
      </w:r>
    </w:p>
    <w:p>
      <w:pPr>
        <w:pageBreakBefore w:val="0"/>
        <w:numPr>
          <w:ilvl w:val="2"/>
          <w:numId w:val="12"/>
        </w:numPr>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按照有关规定，将经营主体的结算信息和数据进行涉密管理。</w:t>
      </w:r>
    </w:p>
    <w:p>
      <w:pPr>
        <w:pageBreakBefore w:val="0"/>
        <w:numPr>
          <w:ilvl w:val="2"/>
          <w:numId w:val="12"/>
        </w:numPr>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法律法规、政府部门规定的其他职责。</w:t>
      </w:r>
    </w:p>
    <w:p>
      <w:pPr>
        <w:pageBreakBefore w:val="0"/>
        <w:numPr>
          <w:ilvl w:val="1"/>
          <w:numId w:val="12"/>
        </w:numPr>
        <w:kinsoku/>
        <w:wordWrap/>
        <w:overflowPunct/>
        <w:topLinePunct w:val="0"/>
        <w:autoSpaceDE/>
        <w:autoSpaceDN/>
        <w:bidi w:val="0"/>
        <w:adjustRightInd/>
        <w:spacing w:line="560" w:lineRule="exact"/>
        <w:ind w:left="0" w:firstLine="643" w:firstLineChars="200"/>
        <w:outlineLvl w:val="1"/>
        <w:rPr>
          <w:rFonts w:ascii="仿宋_GB2312" w:hAnsi="仿宋_GB2312" w:eastAsia="仿宋_GB2312" w:cs="仿宋_GB2312"/>
          <w:b/>
          <w:bCs/>
          <w:color w:val="auto"/>
          <w:sz w:val="32"/>
          <w:szCs w:val="32"/>
          <w:highlight w:val="none"/>
          <w:lang w:val="zh-CN"/>
        </w:rPr>
      </w:pPr>
      <w:r>
        <w:rPr>
          <w:rFonts w:hint="eastAsia" w:ascii="仿宋_GB2312" w:hAnsi="仿宋_GB2312" w:eastAsia="仿宋_GB2312" w:cs="仿宋_GB2312"/>
          <w:b/>
          <w:bCs/>
          <w:color w:val="auto"/>
          <w:sz w:val="32"/>
          <w:szCs w:val="32"/>
          <w:highlight w:val="none"/>
        </w:rPr>
        <w:t>海南</w:t>
      </w:r>
      <w:r>
        <w:rPr>
          <w:rFonts w:hint="eastAsia" w:ascii="仿宋_GB2312" w:hAnsi="仿宋_GB2312" w:eastAsia="仿宋_GB2312" w:cs="仿宋_GB2312"/>
          <w:b/>
          <w:bCs/>
          <w:color w:val="auto"/>
          <w:sz w:val="32"/>
          <w:szCs w:val="32"/>
          <w:highlight w:val="none"/>
          <w:lang w:val="zh-CN"/>
        </w:rPr>
        <w:t>电力交易中心</w:t>
      </w:r>
      <w:bookmarkEnd w:id="30"/>
      <w:bookmarkStart w:id="36" w:name="_Toc23444"/>
      <w:bookmarkStart w:id="37" w:name="_Toc9673"/>
      <w:r>
        <w:rPr>
          <w:rFonts w:hint="eastAsia" w:ascii="仿宋_GB2312" w:hAnsi="仿宋_GB2312" w:eastAsia="仿宋_GB2312" w:cs="仿宋_GB2312"/>
          <w:b/>
          <w:bCs/>
          <w:color w:val="auto"/>
          <w:sz w:val="32"/>
          <w:szCs w:val="32"/>
          <w:highlight w:val="none"/>
        </w:rPr>
        <w:t>职</w:t>
      </w:r>
      <w:r>
        <w:rPr>
          <w:rFonts w:hint="eastAsia" w:ascii="仿宋_GB2312" w:hAnsi="仿宋_GB2312" w:eastAsia="仿宋_GB2312" w:cs="仿宋_GB2312"/>
          <w:b/>
          <w:bCs/>
          <w:color w:val="auto"/>
          <w:sz w:val="32"/>
          <w:szCs w:val="32"/>
          <w:highlight w:val="none"/>
          <w:lang w:val="zh-CN"/>
        </w:rPr>
        <w:t>责</w:t>
      </w:r>
    </w:p>
    <w:bookmarkEnd w:id="36"/>
    <w:bookmarkEnd w:id="37"/>
    <w:p>
      <w:pPr>
        <w:pageBreakBefore w:val="0"/>
        <w:numPr>
          <w:ilvl w:val="2"/>
          <w:numId w:val="12"/>
        </w:numPr>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sz w:val="32"/>
          <w:szCs w:val="32"/>
          <w:highlight w:val="none"/>
          <w:lang w:val="zh-CN"/>
        </w:rPr>
      </w:pPr>
      <w:bookmarkStart w:id="38" w:name="_Toc17155"/>
      <w:bookmarkStart w:id="39" w:name="_Toc1671"/>
      <w:r>
        <w:rPr>
          <w:rFonts w:hint="eastAsia" w:ascii="仿宋_GB2312" w:hAnsi="仿宋_GB2312" w:eastAsia="仿宋_GB2312" w:cs="仿宋_GB2312"/>
          <w:color w:val="auto"/>
          <w:sz w:val="32"/>
          <w:szCs w:val="32"/>
          <w:highlight w:val="none"/>
          <w:lang w:val="zh-CN"/>
        </w:rPr>
        <w:t>拟定市场结算操作性规范、指引等结算业务管理制度。</w:t>
      </w:r>
    </w:p>
    <w:p>
      <w:pPr>
        <w:pageBreakBefore w:val="0"/>
        <w:numPr>
          <w:ilvl w:val="2"/>
          <w:numId w:val="12"/>
        </w:numPr>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负责电力市场电能量电费计算，发布临时结算结果。</w:t>
      </w:r>
    </w:p>
    <w:p>
      <w:pPr>
        <w:pageBreakBefore w:val="0"/>
        <w:numPr>
          <w:ilvl w:val="2"/>
          <w:numId w:val="12"/>
        </w:numPr>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负责出具</w:t>
      </w:r>
      <w:r>
        <w:rPr>
          <w:rFonts w:hint="eastAsia" w:ascii="仿宋_GB2312" w:hAnsi="仿宋_GB2312" w:eastAsia="仿宋_GB2312" w:cs="仿宋_GB2312"/>
          <w:color w:val="auto"/>
          <w:sz w:val="32"/>
          <w:szCs w:val="32"/>
          <w:highlight w:val="none"/>
        </w:rPr>
        <w:t>海南</w:t>
      </w:r>
      <w:r>
        <w:rPr>
          <w:rFonts w:hint="eastAsia" w:ascii="仿宋_GB2312" w:hAnsi="仿宋_GB2312" w:eastAsia="仿宋_GB2312" w:cs="仿宋_GB2312"/>
          <w:color w:val="auto"/>
          <w:sz w:val="32"/>
          <w:szCs w:val="32"/>
          <w:highlight w:val="none"/>
          <w:lang w:val="zh-CN"/>
        </w:rPr>
        <w:t>电力市场结算依据。</w:t>
      </w:r>
    </w:p>
    <w:p>
      <w:pPr>
        <w:pageBreakBefore w:val="0"/>
        <w:numPr>
          <w:ilvl w:val="2"/>
          <w:numId w:val="12"/>
        </w:numPr>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披露电力市场日清分、月度、年度结算电量费等信息。</w:t>
      </w:r>
    </w:p>
    <w:p>
      <w:pPr>
        <w:pageBreakBefore w:val="0"/>
        <w:numPr>
          <w:ilvl w:val="2"/>
          <w:numId w:val="12"/>
        </w:numPr>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组织协调</w:t>
      </w:r>
      <w:r>
        <w:rPr>
          <w:rFonts w:hint="eastAsia" w:ascii="仿宋_GB2312" w:hAnsi="仿宋_GB2312" w:eastAsia="仿宋_GB2312" w:cs="仿宋_GB2312"/>
          <w:color w:val="auto"/>
          <w:sz w:val="32"/>
          <w:szCs w:val="32"/>
          <w:highlight w:val="none"/>
        </w:rPr>
        <w:t>海南</w:t>
      </w:r>
      <w:r>
        <w:rPr>
          <w:rFonts w:hint="eastAsia" w:ascii="仿宋_GB2312" w:hAnsi="仿宋_GB2312" w:eastAsia="仿宋_GB2312" w:cs="仿宋_GB2312"/>
          <w:color w:val="auto"/>
          <w:sz w:val="32"/>
          <w:szCs w:val="32"/>
          <w:highlight w:val="none"/>
          <w:lang w:val="zh-CN"/>
        </w:rPr>
        <w:t>省内交易结算问题。</w:t>
      </w:r>
    </w:p>
    <w:p>
      <w:pPr>
        <w:pageBreakBefore w:val="0"/>
        <w:numPr>
          <w:ilvl w:val="2"/>
          <w:numId w:val="12"/>
        </w:numPr>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参与协调跨区跨省交易结算问题。</w:t>
      </w:r>
    </w:p>
    <w:p>
      <w:pPr>
        <w:pageBreakBefore w:val="0"/>
        <w:numPr>
          <w:ilvl w:val="2"/>
          <w:numId w:val="12"/>
        </w:numPr>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按照有关规定，将经营主体的结算信息和数据进行涉密管理。</w:t>
      </w:r>
    </w:p>
    <w:p>
      <w:pPr>
        <w:pageBreakBefore w:val="0"/>
        <w:numPr>
          <w:ilvl w:val="2"/>
          <w:numId w:val="12"/>
        </w:numPr>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法律法规、政府部门规定的其他职责。</w:t>
      </w:r>
      <w:bookmarkEnd w:id="38"/>
      <w:bookmarkEnd w:id="39"/>
    </w:p>
    <w:bookmarkEnd w:id="31"/>
    <w:bookmarkEnd w:id="32"/>
    <w:bookmarkEnd w:id="33"/>
    <w:bookmarkEnd w:id="34"/>
    <w:bookmarkEnd w:id="35"/>
    <w:p>
      <w:pPr>
        <w:pStyle w:val="65"/>
        <w:keepNext w:val="0"/>
        <w:keepLines w:val="0"/>
        <w:pageBreakBefore w:val="0"/>
        <w:widowControl w:val="0"/>
        <w:numPr>
          <w:ilvl w:val="0"/>
          <w:numId w:val="10"/>
        </w:numP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黑体" w:hAnsi="黑体" w:eastAsia="黑体" w:cs="黑体"/>
          <w:color w:val="auto"/>
          <w:sz w:val="32"/>
          <w:szCs w:val="32"/>
          <w:highlight w:val="none"/>
          <w:lang w:val="zh-CN"/>
        </w:rPr>
      </w:pPr>
      <w:bookmarkStart w:id="40" w:name="_Toc14531"/>
      <w:bookmarkStart w:id="41" w:name="_Toc23502"/>
      <w:bookmarkStart w:id="42" w:name="_Toc18005"/>
      <w:bookmarkStart w:id="43" w:name="_Toc18107"/>
      <w:bookmarkStart w:id="44" w:name="_Toc27068"/>
      <w:bookmarkStart w:id="45" w:name="_Toc30939"/>
      <w:bookmarkStart w:id="46" w:name="_Toc24591"/>
      <w:bookmarkStart w:id="47" w:name="_Toc14342"/>
      <w:bookmarkStart w:id="48" w:name="_Toc22001"/>
      <w:bookmarkStart w:id="49" w:name="_Toc31735"/>
      <w:bookmarkStart w:id="50" w:name="_Toc25117"/>
      <w:bookmarkStart w:id="51" w:name="_Toc12278"/>
      <w:r>
        <w:rPr>
          <w:rFonts w:hint="eastAsia" w:ascii="黑体" w:hAnsi="黑体" w:eastAsia="黑体" w:cs="黑体"/>
          <w:color w:val="auto"/>
          <w:sz w:val="32"/>
          <w:szCs w:val="32"/>
          <w:highlight w:val="none"/>
          <w:lang w:val="zh-CN"/>
        </w:rPr>
        <w:t>结算原则</w:t>
      </w:r>
      <w:bookmarkEnd w:id="40"/>
      <w:bookmarkEnd w:id="41"/>
      <w:bookmarkEnd w:id="42"/>
      <w:bookmarkEnd w:id="43"/>
      <w:bookmarkEnd w:id="44"/>
      <w:bookmarkEnd w:id="45"/>
      <w:bookmarkEnd w:id="46"/>
      <w:bookmarkEnd w:id="47"/>
      <w:bookmarkEnd w:id="48"/>
      <w:bookmarkEnd w:id="49"/>
      <w:bookmarkEnd w:id="50"/>
      <w:bookmarkEnd w:id="51"/>
    </w:p>
    <w:p>
      <w:pPr>
        <w:pStyle w:val="66"/>
        <w:keepNext w:val="0"/>
        <w:keepLines w:val="0"/>
        <w:pageBreakBefore w:val="0"/>
        <w:widowControl w:val="0"/>
        <w:numPr>
          <w:ilvl w:val="1"/>
          <w:numId w:val="10"/>
        </w:numPr>
        <w:kinsoku/>
        <w:wordWrap/>
        <w:overflowPunct/>
        <w:topLinePunct w:val="0"/>
        <w:autoSpaceDE/>
        <w:autoSpaceDN/>
        <w:bidi w:val="0"/>
        <w:adjustRightInd/>
        <w:snapToGrid/>
        <w:spacing w:line="560" w:lineRule="exact"/>
        <w:ind w:left="0" w:leftChars="0" w:firstLine="643" w:firstLineChars="200"/>
        <w:textAlignment w:val="auto"/>
        <w:outlineLvl w:val="1"/>
        <w:rPr>
          <w:rFonts w:hint="eastAsia" w:ascii="仿宋_GB2312" w:hAnsi="仿宋_GB2312" w:eastAsia="仿宋_GB2312" w:cs="仿宋_GB2312"/>
          <w:b/>
          <w:bCs/>
          <w:color w:val="auto"/>
          <w:sz w:val="32"/>
          <w:szCs w:val="32"/>
          <w:highlight w:val="none"/>
          <w:lang w:val="zh-CN"/>
        </w:rPr>
      </w:pPr>
      <w:bookmarkStart w:id="52" w:name="_Toc21780"/>
      <w:bookmarkStart w:id="53" w:name="_Toc8095"/>
      <w:r>
        <w:rPr>
          <w:rFonts w:hint="eastAsia" w:ascii="仿宋_GB2312" w:hAnsi="仿宋_GB2312" w:eastAsia="仿宋_GB2312" w:cs="仿宋_GB2312"/>
          <w:b/>
          <w:bCs/>
          <w:color w:val="auto"/>
          <w:sz w:val="32"/>
          <w:szCs w:val="32"/>
          <w:highlight w:val="none"/>
        </w:rPr>
        <w:t>结算周期</w:t>
      </w:r>
      <w:bookmarkEnd w:id="52"/>
      <w:bookmarkEnd w:id="53"/>
    </w:p>
    <w:p>
      <w:pPr>
        <w:pStyle w:val="67"/>
        <w:keepNext w:val="0"/>
        <w:keepLines w:val="0"/>
        <w:pageBreakBefore w:val="0"/>
        <w:widowControl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rPr>
        <w:t>电力批发市场采用“日清月结”的结算模式，电费计算周期为日，以小时为基本计算时段，出具日清分临时结算结果，以月度为周期出具结算依据，开展电费结算，根据需要开展退补清算；其中月度指自然月1日0时整至月末最后1日24时整（下同）。</w:t>
      </w:r>
    </w:p>
    <w:p>
      <w:pPr>
        <w:pStyle w:val="67"/>
        <w:keepNext w:val="0"/>
        <w:keepLines w:val="0"/>
        <w:pageBreakBefore w:val="0"/>
        <w:widowControl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零售市场以月度为周期开展结算，并出具结算依据。</w:t>
      </w:r>
    </w:p>
    <w:p>
      <w:pPr>
        <w:pStyle w:val="66"/>
        <w:keepNext w:val="0"/>
        <w:keepLines w:val="0"/>
        <w:pageBreakBefore w:val="0"/>
        <w:widowControl w:val="0"/>
        <w:numPr>
          <w:ilvl w:val="1"/>
          <w:numId w:val="10"/>
        </w:numPr>
        <w:kinsoku/>
        <w:wordWrap/>
        <w:overflowPunct/>
        <w:topLinePunct w:val="0"/>
        <w:autoSpaceDE/>
        <w:autoSpaceDN/>
        <w:bidi w:val="0"/>
        <w:adjustRightInd/>
        <w:snapToGrid/>
        <w:spacing w:line="560" w:lineRule="exact"/>
        <w:ind w:left="0" w:leftChars="0" w:firstLine="643" w:firstLineChars="200"/>
        <w:textAlignment w:val="auto"/>
        <w:outlineLvl w:val="1"/>
        <w:rPr>
          <w:rFonts w:hint="eastAsia" w:ascii="仿宋_GB2312" w:hAnsi="仿宋_GB2312" w:eastAsia="仿宋_GB2312" w:cs="仿宋_GB2312"/>
          <w:b/>
          <w:bCs/>
          <w:color w:val="auto"/>
          <w:sz w:val="32"/>
          <w:szCs w:val="32"/>
          <w:highlight w:val="none"/>
        </w:rPr>
      </w:pPr>
      <w:bookmarkStart w:id="54" w:name="_Toc504638435"/>
      <w:bookmarkStart w:id="55" w:name="_Toc497940060"/>
      <w:bookmarkStart w:id="56" w:name="_Toc3061"/>
      <w:bookmarkStart w:id="57" w:name="_Toc25437"/>
      <w:r>
        <w:rPr>
          <w:rFonts w:hint="eastAsia" w:ascii="仿宋_GB2312" w:hAnsi="仿宋_GB2312" w:eastAsia="仿宋_GB2312" w:cs="仿宋_GB2312"/>
          <w:b/>
          <w:bCs/>
          <w:color w:val="auto"/>
          <w:sz w:val="32"/>
          <w:szCs w:val="32"/>
          <w:highlight w:val="none"/>
        </w:rPr>
        <w:t>结算</w:t>
      </w:r>
      <w:bookmarkEnd w:id="54"/>
      <w:bookmarkEnd w:id="55"/>
      <w:r>
        <w:rPr>
          <w:rFonts w:hint="eastAsia" w:ascii="仿宋_GB2312" w:hAnsi="仿宋_GB2312" w:eastAsia="仿宋_GB2312" w:cs="仿宋_GB2312"/>
          <w:b/>
          <w:bCs/>
          <w:color w:val="auto"/>
          <w:sz w:val="32"/>
          <w:szCs w:val="32"/>
          <w:highlight w:val="none"/>
        </w:rPr>
        <w:t>模式</w:t>
      </w:r>
      <w:bookmarkEnd w:id="56"/>
      <w:bookmarkEnd w:id="57"/>
    </w:p>
    <w:p>
      <w:pPr>
        <w:pStyle w:val="67"/>
        <w:keepNext w:val="0"/>
        <w:keepLines w:val="0"/>
        <w:pageBreakBefore w:val="0"/>
        <w:widowControl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批发市场采取三部制结算模式：中长期合约全电量结算（含中长期合约阻塞电费），日前市场与中长期市场的偏差电量按日前市场价格结算，实时市场与日前市场的偏差电量按实时市场价格结算。</w:t>
      </w:r>
    </w:p>
    <w:p>
      <w:pPr>
        <w:pStyle w:val="67"/>
        <w:keepNext w:val="0"/>
        <w:keepLines w:val="0"/>
        <w:pageBreakBefore w:val="0"/>
        <w:widowControl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中长期市场根据合同约定价格（即按规则分解至每日24时刻后的中长期合约）对中长期合约电量做全电量结算；</w:t>
      </w:r>
      <w:r>
        <w:rPr>
          <w:rFonts w:hint="eastAsia" w:ascii="仿宋_GB2312" w:hAnsi="仿宋_GB2312" w:eastAsia="仿宋_GB2312" w:cs="仿宋_GB2312"/>
          <w:color w:val="auto"/>
          <w:sz w:val="32"/>
          <w:szCs w:val="32"/>
          <w:highlight w:val="none"/>
          <w:lang w:eastAsia="zh-CN"/>
        </w:rPr>
        <w:t>并结算经营主体所在节点与中长期结算参考点间的价差引起的中长期合约阻塞电费。</w:t>
      </w:r>
    </w:p>
    <w:p>
      <w:pPr>
        <w:pStyle w:val="67"/>
        <w:keepNext w:val="0"/>
        <w:keepLines w:val="0"/>
        <w:pageBreakBefore w:val="0"/>
        <w:widowControl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日前市场根据日前市场交易结果与中长期合约电量的差值做偏差结算，偏差结算价格为日前市场价格。</w:t>
      </w:r>
    </w:p>
    <w:p>
      <w:pPr>
        <w:pStyle w:val="67"/>
        <w:keepNext w:val="0"/>
        <w:keepLines w:val="0"/>
        <w:pageBreakBefore w:val="0"/>
        <w:widowControl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实时市场根据实际上网电量（或</w:t>
      </w:r>
      <w:r>
        <w:rPr>
          <w:rFonts w:hint="eastAsia" w:ascii="仿宋_GB2312" w:hAnsi="仿宋_GB2312" w:eastAsia="仿宋_GB2312" w:cs="仿宋_GB2312"/>
          <w:color w:val="auto"/>
          <w:sz w:val="32"/>
          <w:szCs w:val="32"/>
          <w:highlight w:val="none"/>
          <w:lang w:eastAsia="zh-CN"/>
        </w:rPr>
        <w:t>实际用电量</w:t>
      </w:r>
      <w:r>
        <w:rPr>
          <w:rFonts w:hint="eastAsia" w:ascii="仿宋_GB2312" w:hAnsi="仿宋_GB2312" w:eastAsia="仿宋_GB2312" w:cs="仿宋_GB2312"/>
          <w:color w:val="auto"/>
          <w:sz w:val="32"/>
          <w:szCs w:val="32"/>
          <w:highlight w:val="none"/>
        </w:rPr>
        <w:t>电量）与日前市场交易结果的差值做偏差结算，偏差结算价格为实时市场价格。</w:t>
      </w:r>
    </w:p>
    <w:p>
      <w:pPr>
        <w:pStyle w:val="67"/>
        <w:keepNext w:val="0"/>
        <w:keepLines w:val="0"/>
        <w:pageBreakBefore w:val="0"/>
        <w:widowControl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按照</w:t>
      </w:r>
      <w:r>
        <w:rPr>
          <w:rFonts w:hint="eastAsia" w:ascii="仿宋_GB2312" w:hAnsi="仿宋_GB2312" w:eastAsia="仿宋_GB2312" w:cs="仿宋_GB2312"/>
          <w:color w:val="auto"/>
          <w:sz w:val="32"/>
          <w:szCs w:val="32"/>
          <w:highlight w:val="none"/>
          <w:lang w:eastAsia="zh-CN"/>
        </w:rPr>
        <w:t>经营主体</w:t>
      </w:r>
      <w:r>
        <w:rPr>
          <w:rFonts w:hint="eastAsia" w:ascii="仿宋_GB2312" w:hAnsi="仿宋_GB2312" w:eastAsia="仿宋_GB2312" w:cs="仿宋_GB2312"/>
          <w:color w:val="auto"/>
          <w:sz w:val="32"/>
          <w:szCs w:val="32"/>
          <w:highlight w:val="none"/>
        </w:rPr>
        <w:t>“权责对等”的原则，分项独立记录，明确分摊（返还）方式。</w:t>
      </w:r>
    </w:p>
    <w:p>
      <w:pPr>
        <w:pStyle w:val="66"/>
        <w:keepNext w:val="0"/>
        <w:keepLines w:val="0"/>
        <w:pageBreakBefore w:val="0"/>
        <w:widowControl w:val="0"/>
        <w:numPr>
          <w:ilvl w:val="1"/>
          <w:numId w:val="10"/>
        </w:numPr>
        <w:kinsoku/>
        <w:wordWrap/>
        <w:overflowPunct/>
        <w:topLinePunct w:val="0"/>
        <w:autoSpaceDE/>
        <w:autoSpaceDN/>
        <w:bidi w:val="0"/>
        <w:adjustRightInd/>
        <w:snapToGrid/>
        <w:spacing w:line="560" w:lineRule="exact"/>
        <w:ind w:left="0" w:leftChars="0" w:firstLine="643" w:firstLineChars="200"/>
        <w:textAlignment w:val="auto"/>
        <w:outlineLvl w:val="1"/>
        <w:rPr>
          <w:rFonts w:hint="eastAsia" w:ascii="仿宋_GB2312" w:hAnsi="仿宋_GB2312" w:eastAsia="仿宋_GB2312" w:cs="仿宋_GB2312"/>
          <w:b/>
          <w:bCs/>
          <w:color w:val="auto"/>
          <w:sz w:val="32"/>
          <w:szCs w:val="32"/>
          <w:highlight w:val="none"/>
        </w:rPr>
      </w:pPr>
      <w:bookmarkStart w:id="58" w:name="_Toc21765"/>
      <w:bookmarkStart w:id="59" w:name="_Toc30683"/>
      <w:r>
        <w:rPr>
          <w:rFonts w:hint="eastAsia" w:ascii="仿宋_GB2312" w:hAnsi="仿宋_GB2312" w:eastAsia="仿宋_GB2312" w:cs="仿宋_GB2312"/>
          <w:b/>
          <w:bCs/>
          <w:color w:val="auto"/>
          <w:sz w:val="32"/>
          <w:szCs w:val="32"/>
          <w:highlight w:val="none"/>
        </w:rPr>
        <w:t>结算</w:t>
      </w:r>
      <w:bookmarkEnd w:id="58"/>
      <w:bookmarkEnd w:id="59"/>
      <w:r>
        <w:rPr>
          <w:rFonts w:hint="eastAsia" w:ascii="仿宋_GB2312" w:hAnsi="仿宋_GB2312" w:eastAsia="仿宋_GB2312" w:cs="仿宋_GB2312"/>
          <w:b/>
          <w:bCs/>
          <w:color w:val="auto"/>
          <w:sz w:val="32"/>
          <w:szCs w:val="32"/>
          <w:highlight w:val="none"/>
        </w:rPr>
        <w:t>电价</w:t>
      </w:r>
    </w:p>
    <w:p>
      <w:pPr>
        <w:pStyle w:val="38"/>
        <w:keepNext w:val="0"/>
        <w:keepLines w:val="0"/>
        <w:pageBreakBefore w:val="0"/>
        <w:widowControl w:val="0"/>
        <w:numPr>
          <w:ilvl w:val="0"/>
          <w:numId w:val="0"/>
        </w:numPr>
        <w:tabs>
          <w:tab w:val="left" w:pos="540"/>
        </w:tabs>
        <w:kinsoku/>
        <w:wordWrap/>
        <w:overflowPunct/>
        <w:topLinePunct w:val="0"/>
        <w:autoSpaceDE/>
        <w:autoSpaceDN/>
        <w:bidi w:val="0"/>
        <w:adjustRightInd/>
        <w:spacing w:beforeLines="0" w:line="560" w:lineRule="exact"/>
        <w:ind w:left="0" w:firstLine="640" w:firstLineChars="200"/>
        <w:textAlignment w:val="auto"/>
        <w:outlineLvl w:val="9"/>
        <w:rPr>
          <w:rFonts w:hint="eastAsia" w:ascii="仿宋_GB2312" w:hAnsi="仿宋_GB2312" w:eastAsia="仿宋_GB2312" w:cs="仿宋_GB2312"/>
          <w:b w:val="0"/>
          <w:bCs w:val="0"/>
          <w:color w:val="auto"/>
          <w:kern w:val="2"/>
          <w:sz w:val="32"/>
          <w:szCs w:val="32"/>
          <w:highlight w:val="none"/>
        </w:rPr>
      </w:pPr>
      <w:r>
        <w:rPr>
          <w:rFonts w:hint="eastAsia" w:ascii="仿宋_GB2312" w:hAnsi="仿宋_GB2312" w:eastAsia="仿宋_GB2312" w:cs="仿宋_GB2312"/>
          <w:b w:val="0"/>
          <w:bCs w:val="0"/>
          <w:color w:val="auto"/>
          <w:kern w:val="2"/>
          <w:sz w:val="32"/>
          <w:szCs w:val="32"/>
          <w:highlight w:val="none"/>
        </w:rPr>
        <w:t>3.3.1发电侧现货市场结算电价为机组所在物理节点的节点电价，用户侧现货市场结算电价采用统一结算点电价进行结算，发电侧每小时的节点电价等于该时段内每 15 分钟节点电价的算术平均值。</w:t>
      </w:r>
    </w:p>
    <w:p>
      <w:pPr>
        <w:pStyle w:val="67"/>
        <w:keepNext w:val="0"/>
        <w:keepLines w:val="0"/>
        <w:pageBreakBefore w:val="0"/>
        <w:widowControl w:val="0"/>
        <w:numPr>
          <w:ilvl w:val="2"/>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b w:val="0"/>
          <w:bCs w:val="0"/>
          <w:color w:val="auto"/>
          <w:kern w:val="2"/>
          <w:sz w:val="32"/>
          <w:szCs w:val="32"/>
          <w:highlight w:val="none"/>
          <w:lang w:eastAsia="zh-CN"/>
        </w:rPr>
      </w:pPr>
      <w:r>
        <w:rPr>
          <w:rFonts w:hint="eastAsia" w:ascii="仿宋_GB2312" w:hAnsi="仿宋_GB2312" w:eastAsia="仿宋_GB2312" w:cs="仿宋_GB2312"/>
          <w:b w:val="0"/>
          <w:bCs w:val="0"/>
          <w:color w:val="auto"/>
          <w:kern w:val="2"/>
          <w:sz w:val="32"/>
          <w:szCs w:val="32"/>
          <w:highlight w:val="none"/>
          <w:lang w:val="en-US" w:eastAsia="zh-CN"/>
        </w:rPr>
        <w:t>3.3.2</w:t>
      </w:r>
      <w:r>
        <w:rPr>
          <w:rFonts w:hint="eastAsia" w:ascii="仿宋_GB2312" w:hAnsi="仿宋_GB2312" w:eastAsia="仿宋_GB2312" w:cs="仿宋_GB2312"/>
          <w:b w:val="0"/>
          <w:bCs w:val="0"/>
          <w:color w:val="auto"/>
          <w:kern w:val="2"/>
          <w:sz w:val="32"/>
          <w:szCs w:val="32"/>
          <w:highlight w:val="none"/>
        </w:rPr>
        <w:t>购售电双方在结算参考点约定中长期合同的交割电量、电价</w:t>
      </w:r>
      <w:r>
        <w:rPr>
          <w:rFonts w:hint="eastAsia" w:ascii="仿宋_GB2312" w:hAnsi="仿宋_GB2312" w:eastAsia="仿宋_GB2312" w:cs="仿宋_GB2312"/>
          <w:b w:val="0"/>
          <w:bCs w:val="0"/>
          <w:color w:val="auto"/>
          <w:kern w:val="2"/>
          <w:sz w:val="32"/>
          <w:szCs w:val="32"/>
          <w:highlight w:val="none"/>
          <w:lang w:val="en-US" w:eastAsia="zh-CN"/>
        </w:rPr>
        <w:t>。</w:t>
      </w:r>
      <w:r>
        <w:rPr>
          <w:rFonts w:hint="eastAsia" w:ascii="仿宋_GB2312" w:hAnsi="仿宋_GB2312" w:eastAsia="仿宋_GB2312" w:cs="仿宋_GB2312"/>
          <w:b w:val="0"/>
          <w:bCs w:val="0"/>
          <w:color w:val="auto"/>
          <w:kern w:val="2"/>
          <w:sz w:val="32"/>
          <w:szCs w:val="32"/>
          <w:highlight w:val="none"/>
        </w:rPr>
        <w:t>现货环境下，中长期</w:t>
      </w:r>
      <w:r>
        <w:rPr>
          <w:rFonts w:hint="eastAsia" w:ascii="仿宋_GB2312" w:hAnsi="仿宋_GB2312" w:eastAsia="仿宋_GB2312" w:cs="仿宋_GB2312"/>
          <w:b w:val="0"/>
          <w:bCs w:val="0"/>
          <w:color w:val="auto"/>
          <w:kern w:val="2"/>
          <w:sz w:val="32"/>
          <w:szCs w:val="32"/>
          <w:highlight w:val="none"/>
          <w:lang w:eastAsia="zh-CN"/>
        </w:rPr>
        <w:t>合约</w:t>
      </w:r>
      <w:r>
        <w:rPr>
          <w:rFonts w:hint="eastAsia" w:ascii="仿宋_GB2312" w:hAnsi="仿宋_GB2312" w:eastAsia="仿宋_GB2312" w:cs="仿宋_GB2312"/>
          <w:b w:val="0"/>
          <w:bCs w:val="0"/>
          <w:color w:val="auto"/>
          <w:kern w:val="2"/>
          <w:sz w:val="32"/>
          <w:szCs w:val="32"/>
          <w:highlight w:val="none"/>
        </w:rPr>
        <w:t>阻塞</w:t>
      </w:r>
      <w:r>
        <w:rPr>
          <w:rFonts w:hint="eastAsia" w:ascii="仿宋_GB2312" w:hAnsi="仿宋_GB2312" w:eastAsia="仿宋_GB2312" w:cs="仿宋_GB2312"/>
          <w:b w:val="0"/>
          <w:bCs w:val="0"/>
          <w:color w:val="auto"/>
          <w:kern w:val="2"/>
          <w:sz w:val="32"/>
          <w:szCs w:val="32"/>
          <w:highlight w:val="none"/>
          <w:lang w:eastAsia="zh-CN"/>
        </w:rPr>
        <w:t>电费</w:t>
      </w:r>
      <w:r>
        <w:rPr>
          <w:rFonts w:hint="eastAsia" w:ascii="仿宋_GB2312" w:hAnsi="仿宋_GB2312" w:eastAsia="仿宋_GB2312" w:cs="仿宋_GB2312"/>
          <w:b w:val="0"/>
          <w:bCs w:val="0"/>
          <w:color w:val="auto"/>
          <w:kern w:val="2"/>
          <w:sz w:val="32"/>
          <w:szCs w:val="32"/>
          <w:highlight w:val="none"/>
        </w:rPr>
        <w:t>根据购售电主体所在</w:t>
      </w:r>
      <w:r>
        <w:rPr>
          <w:rFonts w:hint="eastAsia" w:ascii="仿宋_GB2312" w:hAnsi="仿宋_GB2312" w:eastAsia="仿宋_GB2312" w:cs="仿宋_GB2312"/>
          <w:b w:val="0"/>
          <w:bCs w:val="0"/>
          <w:color w:val="auto"/>
          <w:kern w:val="2"/>
          <w:sz w:val="32"/>
          <w:szCs w:val="32"/>
          <w:highlight w:val="none"/>
          <w:lang w:eastAsia="zh-CN"/>
        </w:rPr>
        <w:t>节点</w:t>
      </w:r>
      <w:r>
        <w:rPr>
          <w:rFonts w:hint="eastAsia" w:ascii="仿宋_GB2312" w:hAnsi="仿宋_GB2312" w:eastAsia="仿宋_GB2312" w:cs="仿宋_GB2312"/>
          <w:b w:val="0"/>
          <w:bCs w:val="0"/>
          <w:color w:val="auto"/>
          <w:kern w:val="2"/>
          <w:sz w:val="32"/>
          <w:szCs w:val="32"/>
          <w:highlight w:val="none"/>
        </w:rPr>
        <w:t>现货价格与结算参考点现货价格的差值结算。现阶段，省内中长期电能量交易设置统一的结算参考点，以用户侧统一结算点电价作为结算参考点现货价格开展计算；跨省中长期市场化交易根据《南方区域电力市场运行规则》和《南方区域电力市场中长期电能量交易实施细则》要求确定相应的结算参考点</w:t>
      </w:r>
      <w:r>
        <w:rPr>
          <w:rFonts w:hint="eastAsia" w:ascii="仿宋_GB2312" w:hAnsi="仿宋_GB2312" w:eastAsia="仿宋_GB2312" w:cs="仿宋_GB2312"/>
          <w:b w:val="0"/>
          <w:bCs w:val="0"/>
          <w:color w:val="auto"/>
          <w:kern w:val="2"/>
          <w:sz w:val="32"/>
          <w:szCs w:val="32"/>
          <w:highlight w:val="none"/>
          <w:lang w:eastAsia="zh-CN"/>
        </w:rPr>
        <w:t>。</w:t>
      </w:r>
    </w:p>
    <w:p>
      <w:pPr>
        <w:pStyle w:val="67"/>
        <w:keepNext w:val="0"/>
        <w:keepLines w:val="0"/>
        <w:pageBreakBefore w:val="0"/>
        <w:widowControl w:val="0"/>
        <w:numPr>
          <w:ilvl w:val="2"/>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3.3.3</w:t>
      </w:r>
      <w:r>
        <w:rPr>
          <w:rFonts w:hint="eastAsia" w:ascii="仿宋_GB2312" w:hAnsi="仿宋_GB2312" w:eastAsia="仿宋_GB2312" w:cs="仿宋_GB2312"/>
          <w:color w:val="auto"/>
          <w:sz w:val="32"/>
          <w:szCs w:val="32"/>
          <w:highlight w:val="none"/>
        </w:rPr>
        <w:t>采用统一结算单位。其中：</w:t>
      </w:r>
    </w:p>
    <w:p>
      <w:pPr>
        <w:pStyle w:val="25"/>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rPr>
      </w:pPr>
      <w:r>
        <w:rPr>
          <w:rFonts w:hint="eastAsia" w:ascii="仿宋_GB2312" w:hAnsi="仿宋_GB2312" w:eastAsia="仿宋_GB2312" w:cs="仿宋_GB2312"/>
          <w:color w:val="auto"/>
          <w:sz w:val="32"/>
          <w:szCs w:val="32"/>
          <w:highlight w:val="none"/>
          <w:lang w:val="en-US"/>
        </w:rPr>
        <w:t>（1）电量单位为兆瓦时，保留三位小数；</w:t>
      </w:r>
    </w:p>
    <w:p>
      <w:pPr>
        <w:pStyle w:val="25"/>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rPr>
      </w:pPr>
      <w:r>
        <w:rPr>
          <w:rFonts w:hint="eastAsia" w:ascii="仿宋_GB2312" w:hAnsi="仿宋_GB2312" w:eastAsia="仿宋_GB2312" w:cs="仿宋_GB2312"/>
          <w:color w:val="auto"/>
          <w:sz w:val="32"/>
          <w:szCs w:val="32"/>
          <w:highlight w:val="none"/>
          <w:lang w:val="en-US"/>
        </w:rPr>
        <w:t>（2）电价单位为元/兆瓦时，保留两位小数；</w:t>
      </w:r>
    </w:p>
    <w:p>
      <w:pPr>
        <w:pStyle w:val="25"/>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rPr>
      </w:pPr>
      <w:r>
        <w:rPr>
          <w:rFonts w:hint="eastAsia" w:ascii="仿宋_GB2312" w:hAnsi="仿宋_GB2312" w:eastAsia="仿宋_GB2312" w:cs="仿宋_GB2312"/>
          <w:color w:val="auto"/>
          <w:sz w:val="32"/>
          <w:szCs w:val="32"/>
          <w:highlight w:val="none"/>
          <w:lang w:val="en-US"/>
        </w:rPr>
        <w:t>（3）电费单位为元，保留两位小数。</w:t>
      </w:r>
    </w:p>
    <w:p>
      <w:pPr>
        <w:pStyle w:val="67"/>
        <w:keepNext w:val="0"/>
        <w:keepLines w:val="0"/>
        <w:pageBreakBefore w:val="0"/>
        <w:widowControl w:val="0"/>
        <w:numPr>
          <w:ilvl w:val="2"/>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3.3.4电力用户（包括批发用户和零售用户）终端到户价格包括批发电能量价格（适用批发用户）或零售合同电能量价格（适用零售用户）、上网环节线损费用、输配电价、系统运行费用、居民农业及线损购电损益分摊（分享）电费、政府性基金及附加和功率因数调整电费等</w:t>
      </w:r>
      <w:r>
        <w:rPr>
          <w:rFonts w:hint="eastAsia" w:ascii="仿宋_GB2312" w:hAnsi="仿宋_GB2312" w:eastAsia="仿宋_GB2312" w:cs="仿宋_GB2312"/>
          <w:color w:val="auto"/>
          <w:sz w:val="32"/>
          <w:szCs w:val="32"/>
          <w:highlight w:val="none"/>
        </w:rPr>
        <w:t>。</w:t>
      </w:r>
    </w:p>
    <w:p>
      <w:pPr>
        <w:ind w:firstLine="640" w:firstLineChars="200"/>
        <w:rPr>
          <w:rFonts w:hint="eastAsia" w:ascii="仿宋_GB2312" w:hAnsi="仿宋_GB2312" w:eastAsia="仿宋_GB2312" w:cs="仿宋_GB2312"/>
          <w:bCs/>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3.3.5设置峰谷浮动价格机制，峰谷浮动价格在终端电力用户执行，售电公司批发侧结算不开展峰谷浮动价格结算，交易价格的峰谷浮动基准价按年度交易方案规定执行。</w:t>
      </w:r>
      <w:r>
        <w:rPr>
          <w:rFonts w:hint="eastAsia" w:ascii="仿宋_GB2312" w:hAnsi="仿宋_GB2312" w:eastAsia="仿宋_GB2312" w:cs="仿宋_GB2312"/>
          <w:bCs/>
          <w:color w:val="auto"/>
          <w:sz w:val="32"/>
          <w:szCs w:val="32"/>
          <w:highlight w:val="none"/>
        </w:rPr>
        <w:t>执行峰谷分时电价政策的电力用户</w:t>
      </w:r>
      <w:r>
        <w:rPr>
          <w:rFonts w:hint="eastAsia" w:ascii="仿宋_GB2312" w:hAnsi="仿宋_GB2312" w:eastAsia="仿宋_GB2312" w:cs="仿宋_GB2312"/>
          <w:bCs/>
          <w:color w:val="auto"/>
          <w:sz w:val="32"/>
          <w:szCs w:val="32"/>
          <w:highlight w:val="none"/>
          <w:lang w:eastAsia="zh-CN"/>
        </w:rPr>
        <w:t>按照分时段实际用电量与峰谷浮动价格开展结算，</w:t>
      </w:r>
      <w:r>
        <w:rPr>
          <w:rFonts w:hint="eastAsia" w:ascii="仿宋_GB2312" w:hAnsi="仿宋_GB2312" w:eastAsia="仿宋_GB2312" w:cs="仿宋_GB2312"/>
          <w:bCs/>
          <w:color w:val="auto"/>
          <w:sz w:val="32"/>
          <w:szCs w:val="32"/>
          <w:highlight w:val="none"/>
        </w:rPr>
        <w:t>其中峰时段比例设置为f1</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rPr>
        <w:t>谷时段比例设置为f2，尖峰在峰段电价基础上上浮比例设置为f3。峰谷时段、峰谷比例、具体执行范围以及峰谷浮动电费的归集等要求参照价格主管部门相关文件要求执行，如遇调整按新规定执行。</w:t>
      </w:r>
    </w:p>
    <w:p>
      <w:pPr>
        <w:pStyle w:val="65"/>
        <w:keepNext w:val="0"/>
        <w:keepLines w:val="0"/>
        <w:pageBreakBefore w:val="0"/>
        <w:widowControl w:val="0"/>
        <w:numPr>
          <w:ilvl w:val="0"/>
          <w:numId w:val="10"/>
        </w:numP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黑体" w:hAnsi="黑体" w:eastAsia="黑体" w:cs="黑体"/>
          <w:color w:val="auto"/>
          <w:sz w:val="32"/>
          <w:szCs w:val="32"/>
          <w:highlight w:val="none"/>
          <w:lang w:val="zh-CN"/>
        </w:rPr>
      </w:pPr>
      <w:bookmarkStart w:id="60" w:name="_Toc2510"/>
      <w:bookmarkStart w:id="61" w:name="_Toc1324"/>
      <w:bookmarkStart w:id="62" w:name="_Toc9058"/>
      <w:bookmarkStart w:id="63" w:name="_Toc31775"/>
      <w:bookmarkStart w:id="64" w:name="_Toc521"/>
      <w:bookmarkStart w:id="65" w:name="_Toc504638438"/>
      <w:bookmarkStart w:id="66" w:name="_Toc22746"/>
      <w:bookmarkStart w:id="67" w:name="_Toc32402"/>
      <w:bookmarkStart w:id="68" w:name="_Toc24070"/>
      <w:bookmarkStart w:id="69" w:name="_Toc26168"/>
      <w:bookmarkStart w:id="70" w:name="_Toc26617"/>
      <w:bookmarkStart w:id="71" w:name="_Toc6001"/>
      <w:bookmarkStart w:id="72" w:name="_Toc26813"/>
      <w:r>
        <w:rPr>
          <w:rFonts w:hint="eastAsia" w:ascii="黑体" w:hAnsi="黑体" w:eastAsia="黑体" w:cs="黑体"/>
          <w:color w:val="auto"/>
          <w:sz w:val="32"/>
          <w:szCs w:val="32"/>
          <w:highlight w:val="none"/>
          <w:lang w:val="zh-CN"/>
        </w:rPr>
        <w:t>结算流程</w:t>
      </w:r>
      <w:bookmarkEnd w:id="60"/>
      <w:bookmarkEnd w:id="61"/>
      <w:bookmarkEnd w:id="62"/>
      <w:bookmarkEnd w:id="63"/>
      <w:bookmarkEnd w:id="64"/>
      <w:bookmarkEnd w:id="65"/>
      <w:bookmarkEnd w:id="66"/>
      <w:bookmarkEnd w:id="67"/>
      <w:bookmarkEnd w:id="68"/>
      <w:bookmarkEnd w:id="69"/>
      <w:bookmarkEnd w:id="70"/>
      <w:bookmarkEnd w:id="71"/>
      <w:bookmarkEnd w:id="72"/>
    </w:p>
    <w:p>
      <w:pPr>
        <w:pStyle w:val="66"/>
        <w:keepNext w:val="0"/>
        <w:keepLines w:val="0"/>
        <w:pageBreakBefore w:val="0"/>
        <w:widowControl w:val="0"/>
        <w:numPr>
          <w:ilvl w:val="1"/>
          <w:numId w:val="10"/>
        </w:numPr>
        <w:kinsoku/>
        <w:wordWrap/>
        <w:overflowPunct/>
        <w:topLinePunct w:val="0"/>
        <w:autoSpaceDE/>
        <w:autoSpaceDN/>
        <w:bidi w:val="0"/>
        <w:adjustRightInd/>
        <w:snapToGrid/>
        <w:spacing w:line="560" w:lineRule="exact"/>
        <w:ind w:left="0" w:leftChars="0" w:firstLine="643" w:firstLineChars="200"/>
        <w:textAlignment w:val="auto"/>
        <w:outlineLvl w:val="1"/>
        <w:rPr>
          <w:rFonts w:hint="eastAsia" w:ascii="仿宋_GB2312" w:hAnsi="仿宋_GB2312" w:eastAsia="仿宋_GB2312" w:cs="仿宋_GB2312"/>
          <w:b/>
          <w:bCs/>
          <w:color w:val="auto"/>
          <w:sz w:val="32"/>
          <w:szCs w:val="32"/>
          <w:highlight w:val="none"/>
          <w:lang w:val="zh-CN"/>
        </w:rPr>
      </w:pPr>
      <w:bookmarkStart w:id="73" w:name="_Toc9231"/>
      <w:bookmarkStart w:id="74" w:name="_Toc10117"/>
      <w:r>
        <w:rPr>
          <w:rFonts w:hint="eastAsia" w:ascii="仿宋_GB2312" w:hAnsi="仿宋_GB2312" w:eastAsia="仿宋_GB2312" w:cs="仿宋_GB2312"/>
          <w:b/>
          <w:bCs/>
          <w:color w:val="auto"/>
          <w:sz w:val="32"/>
          <w:szCs w:val="32"/>
          <w:highlight w:val="none"/>
          <w:lang w:val="zh-CN"/>
        </w:rPr>
        <w:t>结算数据准备</w:t>
      </w:r>
      <w:bookmarkEnd w:id="73"/>
      <w:bookmarkEnd w:id="74"/>
    </w:p>
    <w:p>
      <w:pPr>
        <w:pStyle w:val="67"/>
        <w:keepNext w:val="0"/>
        <w:keepLines w:val="0"/>
        <w:pageBreakBefore w:val="0"/>
        <w:widowControl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zh-CN"/>
        </w:rPr>
      </w:pPr>
      <w:bookmarkStart w:id="75" w:name="_Toc23531"/>
      <w:bookmarkStart w:id="76" w:name="_Toc6136"/>
      <w:r>
        <w:rPr>
          <w:rFonts w:hint="eastAsia" w:ascii="仿宋_GB2312" w:hAnsi="仿宋_GB2312" w:eastAsia="仿宋_GB2312" w:cs="仿宋_GB2312"/>
          <w:color w:val="auto"/>
          <w:sz w:val="32"/>
          <w:szCs w:val="32"/>
          <w:highlight w:val="none"/>
          <w:lang w:val="zh-CN"/>
        </w:rPr>
        <w:t>中长期交易电量按照《海南电力市场现货电能量交易实施细则》规定，在日前市场开市前进行分解上报。具体包括：年度、月度、周等为周期的中长期交易价格和分时电量，分时电量以1小时为时间间隔。</w:t>
      </w:r>
    </w:p>
    <w:p>
      <w:pPr>
        <w:pStyle w:val="67"/>
        <w:keepNext w:val="0"/>
        <w:keepLines w:val="0"/>
        <w:pageBreakBefore w:val="0"/>
        <w:widowControl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运行日提前1日（D-1日）完成日前市场出清，运行日（D日）完成实时市场出清。D-1日获取D日的日前市场交易结果，D+1日获取D日实时市场交易结果。具体包括</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rPr>
        <w:t>发电侧的所有节点日前和实时市场出清上网电量、出清价格；用户侧各节点的出清电量、统一结算点电价；日前机组组合安排；必开、热电联产等特殊机组标签；启停及机组返还电费相关数据等。</w:t>
      </w:r>
    </w:p>
    <w:p>
      <w:pPr>
        <w:pStyle w:val="67"/>
        <w:keepNext w:val="0"/>
        <w:keepLines w:val="0"/>
        <w:pageBreakBefore w:val="0"/>
        <w:widowControl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rPr>
        <w:t>运行日后第1天（D+1日），调度机构按照《海南电力市场现货电能量交易实施细则》规定的原则，</w:t>
      </w:r>
      <w:r>
        <w:rPr>
          <w:rFonts w:hint="eastAsia" w:ascii="仿宋_GB2312" w:hAnsi="仿宋_GB2312" w:eastAsia="仿宋_GB2312" w:cs="仿宋_GB2312"/>
          <w:color w:val="auto"/>
          <w:sz w:val="32"/>
          <w:szCs w:val="32"/>
          <w:highlight w:val="none"/>
          <w:lang w:eastAsia="zh-CN"/>
        </w:rPr>
        <w:t>将发电机组</w:t>
      </w:r>
      <w:r>
        <w:rPr>
          <w:rFonts w:hint="eastAsia" w:ascii="仿宋_GB2312" w:hAnsi="仿宋_GB2312" w:eastAsia="仿宋_GB2312" w:cs="仿宋_GB2312"/>
          <w:color w:val="auto"/>
          <w:sz w:val="32"/>
          <w:szCs w:val="32"/>
          <w:highlight w:val="none"/>
          <w:lang w:val="en-US" w:eastAsia="zh-CN"/>
        </w:rPr>
        <w:t>D日24小时时段的优先发电量</w:t>
      </w:r>
      <w:r>
        <w:rPr>
          <w:rFonts w:hint="eastAsia" w:ascii="仿宋_GB2312" w:hAnsi="仿宋_GB2312" w:eastAsia="仿宋_GB2312" w:cs="仿宋_GB2312"/>
          <w:color w:val="auto"/>
          <w:sz w:val="32"/>
          <w:szCs w:val="32"/>
          <w:highlight w:val="none"/>
        </w:rPr>
        <w:t>推送交易系统。</w:t>
      </w:r>
    </w:p>
    <w:p>
      <w:pPr>
        <w:pStyle w:val="67"/>
        <w:keepNext w:val="0"/>
        <w:keepLines w:val="0"/>
        <w:pageBreakBefore w:val="0"/>
        <w:widowControl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交易系统在获取运行日（D日）的日前市场及实时市场出清数据后，按照相应的规则拟合形成日前市场和实时市场发用电两侧分时结算电价。</w:t>
      </w:r>
    </w:p>
    <w:p>
      <w:pPr>
        <w:pStyle w:val="67"/>
        <w:keepNext w:val="0"/>
        <w:keepLines w:val="0"/>
        <w:pageBreakBefore w:val="0"/>
        <w:widowControl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运行日后第2天（D+2日），电网企业以机组和计量点为最小单位，采集全部市场用户、机组的分时表码（含拟合）；在运行日后第3天（D+3日），电网企业以机组和计量点为最小单位，将运行日（D日）的机组、市场用户每小时电量数据推送给交易系统，包括机组分时电量和用户计量点分时电量。</w:t>
      </w:r>
    </w:p>
    <w:p>
      <w:pPr>
        <w:pStyle w:val="67"/>
        <w:keepNext w:val="0"/>
        <w:keepLines w:val="0"/>
        <w:pageBreakBefore w:val="0"/>
        <w:widowControl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分时计量数据采集失败时，由电网企业提供电量拟合数据用于市场化结算，计量电量拟合规则和补充说明详见附件。</w:t>
      </w:r>
      <w:bookmarkEnd w:id="75"/>
      <w:bookmarkEnd w:id="76"/>
    </w:p>
    <w:p>
      <w:pPr>
        <w:pStyle w:val="67"/>
        <w:keepNext w:val="0"/>
        <w:keepLines w:val="0"/>
        <w:pageBreakBefore w:val="0"/>
        <w:widowControl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rPr>
        <w:t>广州电力交易中心在规定时间内将跨省市场结算的</w:t>
      </w:r>
      <w:r>
        <w:rPr>
          <w:rFonts w:hint="eastAsia" w:ascii="仿宋_GB2312" w:hAnsi="仿宋_GB2312" w:eastAsia="仿宋_GB2312" w:cs="仿宋_GB2312"/>
          <w:color w:val="auto"/>
          <w:sz w:val="32"/>
          <w:szCs w:val="32"/>
          <w:highlight w:val="none"/>
          <w:lang w:eastAsia="zh-CN"/>
        </w:rPr>
        <w:t>经营主体</w:t>
      </w:r>
      <w:r>
        <w:rPr>
          <w:rFonts w:hint="eastAsia" w:ascii="仿宋_GB2312" w:hAnsi="仿宋_GB2312" w:eastAsia="仿宋_GB2312" w:cs="仿宋_GB2312"/>
          <w:color w:val="auto"/>
          <w:sz w:val="32"/>
          <w:szCs w:val="32"/>
          <w:highlight w:val="none"/>
        </w:rPr>
        <w:t>电能量电费传递至海南电力交易中心。</w:t>
      </w:r>
    </w:p>
    <w:p>
      <w:pPr>
        <w:pStyle w:val="66"/>
        <w:keepNext w:val="0"/>
        <w:keepLines w:val="0"/>
        <w:pageBreakBefore w:val="0"/>
        <w:widowControl w:val="0"/>
        <w:numPr>
          <w:ilvl w:val="1"/>
          <w:numId w:val="10"/>
        </w:numPr>
        <w:kinsoku/>
        <w:wordWrap/>
        <w:overflowPunct/>
        <w:topLinePunct w:val="0"/>
        <w:autoSpaceDE/>
        <w:autoSpaceDN/>
        <w:bidi w:val="0"/>
        <w:adjustRightInd/>
        <w:snapToGrid/>
        <w:spacing w:line="560" w:lineRule="exact"/>
        <w:ind w:left="0" w:leftChars="0" w:firstLine="643" w:firstLineChars="200"/>
        <w:textAlignment w:val="auto"/>
        <w:outlineLvl w:val="1"/>
        <w:rPr>
          <w:rFonts w:hint="eastAsia" w:ascii="仿宋_GB2312" w:hAnsi="仿宋_GB2312" w:eastAsia="仿宋_GB2312" w:cs="仿宋_GB2312"/>
          <w:b/>
          <w:bCs/>
          <w:color w:val="auto"/>
          <w:sz w:val="32"/>
          <w:szCs w:val="32"/>
          <w:highlight w:val="none"/>
          <w:lang w:val="zh-CN"/>
        </w:rPr>
      </w:pPr>
      <w:bookmarkStart w:id="77" w:name="_Toc4552"/>
      <w:bookmarkStart w:id="78" w:name="_Toc13753"/>
      <w:r>
        <w:rPr>
          <w:rFonts w:hint="eastAsia" w:ascii="仿宋_GB2312" w:hAnsi="仿宋_GB2312" w:eastAsia="仿宋_GB2312" w:cs="仿宋_GB2312"/>
          <w:b/>
          <w:bCs/>
          <w:color w:val="auto"/>
          <w:sz w:val="32"/>
          <w:szCs w:val="32"/>
          <w:highlight w:val="none"/>
          <w:lang w:val="zh-CN"/>
        </w:rPr>
        <w:t>日清分</w:t>
      </w:r>
      <w:bookmarkEnd w:id="77"/>
      <w:bookmarkEnd w:id="78"/>
    </w:p>
    <w:p>
      <w:pPr>
        <w:pStyle w:val="67"/>
        <w:keepNext w:val="0"/>
        <w:keepLines w:val="0"/>
        <w:pageBreakBefore w:val="0"/>
        <w:widowControl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zh-CN"/>
        </w:rPr>
      </w:pPr>
      <w:bookmarkStart w:id="79" w:name="_Toc22376"/>
      <w:bookmarkStart w:id="80" w:name="_Toc15214"/>
      <w:r>
        <w:rPr>
          <w:rFonts w:hint="eastAsia" w:ascii="仿宋_GB2312" w:hAnsi="仿宋_GB2312" w:eastAsia="仿宋_GB2312" w:cs="仿宋_GB2312"/>
          <w:color w:val="auto"/>
          <w:sz w:val="32"/>
          <w:szCs w:val="32"/>
          <w:highlight w:val="none"/>
          <w:lang w:val="zh-CN"/>
        </w:rPr>
        <w:t>数据准备完成后，交易中心在D+5工作日计算并发布省内市场日清分临时结果。</w:t>
      </w:r>
      <w:bookmarkEnd w:id="79"/>
      <w:bookmarkEnd w:id="80"/>
    </w:p>
    <w:p>
      <w:pPr>
        <w:pStyle w:val="67"/>
        <w:keepNext w:val="0"/>
        <w:keepLines w:val="0"/>
        <w:pageBreakBefore w:val="0"/>
        <w:widowControl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bookmarkStart w:id="81" w:name="_Toc24018"/>
      <w:bookmarkStart w:id="82" w:name="_Toc465"/>
      <w:r>
        <w:rPr>
          <w:rFonts w:hint="eastAsia" w:ascii="仿宋_GB2312" w:hAnsi="仿宋_GB2312" w:eastAsia="仿宋_GB2312" w:cs="仿宋_GB2312"/>
          <w:color w:val="auto"/>
          <w:sz w:val="32"/>
          <w:szCs w:val="32"/>
          <w:highlight w:val="none"/>
          <w:lang w:val="zh-CN"/>
        </w:rPr>
        <w:t>经营主体在日清分临时结果发布后，对日清分临时结果进行确认，在1日内反馈意见，在规定时间内无反馈的视同确认无异议。</w:t>
      </w:r>
      <w:bookmarkEnd w:id="81"/>
      <w:bookmarkEnd w:id="82"/>
    </w:p>
    <w:p>
      <w:pPr>
        <w:pStyle w:val="67"/>
        <w:keepNext w:val="0"/>
        <w:keepLines w:val="0"/>
        <w:pageBreakBefore w:val="0"/>
        <w:widowControl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zh-CN"/>
        </w:rPr>
      </w:pPr>
      <w:bookmarkStart w:id="83" w:name="_Toc15850"/>
      <w:bookmarkStart w:id="84" w:name="_Toc10955"/>
      <w:r>
        <w:rPr>
          <w:rFonts w:hint="eastAsia" w:ascii="仿宋_GB2312" w:hAnsi="仿宋_GB2312" w:eastAsia="仿宋_GB2312" w:cs="仿宋_GB2312"/>
          <w:color w:val="auto"/>
          <w:sz w:val="32"/>
          <w:szCs w:val="32"/>
          <w:highlight w:val="none"/>
        </w:rPr>
        <w:t>交易中心根据各方意见，对当月需调整的日清分临时结算结果进行重算，并重新发布已重算的日清分临时结算结果。</w:t>
      </w:r>
      <w:bookmarkEnd w:id="83"/>
      <w:bookmarkEnd w:id="84"/>
    </w:p>
    <w:p>
      <w:pPr>
        <w:pStyle w:val="66"/>
        <w:keepNext w:val="0"/>
        <w:keepLines w:val="0"/>
        <w:pageBreakBefore w:val="0"/>
        <w:widowControl w:val="0"/>
        <w:numPr>
          <w:ilvl w:val="1"/>
          <w:numId w:val="10"/>
        </w:numPr>
        <w:kinsoku/>
        <w:wordWrap/>
        <w:overflowPunct/>
        <w:topLinePunct w:val="0"/>
        <w:autoSpaceDE/>
        <w:autoSpaceDN/>
        <w:bidi w:val="0"/>
        <w:adjustRightInd/>
        <w:snapToGrid/>
        <w:spacing w:line="560" w:lineRule="exact"/>
        <w:ind w:left="0" w:leftChars="0" w:firstLine="643" w:firstLineChars="200"/>
        <w:textAlignment w:val="auto"/>
        <w:outlineLvl w:val="1"/>
        <w:rPr>
          <w:rFonts w:hint="eastAsia" w:ascii="仿宋_GB2312" w:hAnsi="仿宋_GB2312" w:eastAsia="仿宋_GB2312" w:cs="仿宋_GB2312"/>
          <w:b/>
          <w:bCs/>
          <w:color w:val="auto"/>
          <w:sz w:val="32"/>
          <w:szCs w:val="32"/>
          <w:highlight w:val="none"/>
          <w:lang w:val="zh-CN"/>
        </w:rPr>
      </w:pPr>
      <w:bookmarkStart w:id="85" w:name="_Toc31588"/>
      <w:bookmarkStart w:id="86" w:name="_Toc4116"/>
      <w:r>
        <w:rPr>
          <w:rFonts w:hint="eastAsia" w:ascii="仿宋_GB2312" w:hAnsi="仿宋_GB2312" w:eastAsia="仿宋_GB2312" w:cs="仿宋_GB2312"/>
          <w:b/>
          <w:bCs/>
          <w:color w:val="auto"/>
          <w:sz w:val="32"/>
          <w:szCs w:val="32"/>
          <w:highlight w:val="none"/>
          <w:lang w:val="zh-CN"/>
        </w:rPr>
        <w:t>月结算</w:t>
      </w:r>
      <w:bookmarkEnd w:id="85"/>
      <w:bookmarkEnd w:id="86"/>
    </w:p>
    <w:p>
      <w:pPr>
        <w:pStyle w:val="67"/>
        <w:keepNext w:val="0"/>
        <w:keepLines w:val="0"/>
        <w:pageBreakBefore w:val="0"/>
        <w:widowControl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zh-CN"/>
        </w:rPr>
      </w:pPr>
      <w:bookmarkStart w:id="87" w:name="_Toc10046"/>
      <w:bookmarkStart w:id="88" w:name="_Toc7397"/>
      <w:r>
        <w:rPr>
          <w:rFonts w:hint="eastAsia" w:ascii="仿宋_GB2312" w:hAnsi="仿宋_GB2312" w:eastAsia="仿宋_GB2312" w:cs="仿宋_GB2312"/>
          <w:color w:val="auto"/>
          <w:sz w:val="32"/>
          <w:szCs w:val="32"/>
          <w:highlight w:val="none"/>
        </w:rPr>
        <w:t>每月6日12时前</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电网企业完成上月电量校核修正，并推送至交易系统</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调度机构</w:t>
      </w:r>
      <w:r>
        <w:rPr>
          <w:rFonts w:hint="eastAsia" w:ascii="仿宋_GB2312" w:hAnsi="仿宋_GB2312" w:eastAsia="仿宋_GB2312" w:cs="仿宋_GB2312"/>
          <w:color w:val="auto"/>
          <w:sz w:val="32"/>
          <w:szCs w:val="32"/>
          <w:highlight w:val="none"/>
          <w:lang w:eastAsia="zh-CN"/>
        </w:rPr>
        <w:t>完成发电侧考核及补偿</w:t>
      </w:r>
      <w:r>
        <w:rPr>
          <w:rFonts w:hint="eastAsia" w:ascii="仿宋_GB2312" w:hAnsi="仿宋_GB2312" w:eastAsia="仿宋_GB2312" w:cs="仿宋_GB2312"/>
          <w:color w:val="auto"/>
          <w:sz w:val="32"/>
          <w:szCs w:val="32"/>
          <w:highlight w:val="none"/>
        </w:rPr>
        <w:t>数据复核修正及重推，并推送至交易系统</w:t>
      </w:r>
      <w:bookmarkEnd w:id="87"/>
      <w:bookmarkEnd w:id="88"/>
      <w:r>
        <w:rPr>
          <w:rFonts w:hint="eastAsia" w:ascii="仿宋_GB2312" w:hAnsi="仿宋_GB2312" w:eastAsia="仿宋_GB2312" w:cs="仿宋_GB2312"/>
          <w:color w:val="auto"/>
          <w:sz w:val="32"/>
          <w:szCs w:val="32"/>
          <w:highlight w:val="none"/>
          <w:lang w:eastAsia="zh-CN"/>
        </w:rPr>
        <w:t>。</w:t>
      </w:r>
    </w:p>
    <w:p>
      <w:pPr>
        <w:pStyle w:val="67"/>
        <w:keepNext w:val="0"/>
        <w:keepLines w:val="0"/>
        <w:pageBreakBefore w:val="0"/>
        <w:widowControl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zh-CN"/>
        </w:rPr>
      </w:pPr>
      <w:bookmarkStart w:id="89" w:name="_Toc7652"/>
      <w:bookmarkStart w:id="90" w:name="_Toc6018"/>
      <w:r>
        <w:rPr>
          <w:rFonts w:hint="eastAsia" w:ascii="仿宋_GB2312" w:hAnsi="仿宋_GB2312" w:eastAsia="仿宋_GB2312" w:cs="仿宋_GB2312"/>
          <w:color w:val="auto"/>
          <w:sz w:val="32"/>
          <w:szCs w:val="32"/>
          <w:highlight w:val="none"/>
          <w:lang w:val="zh-CN"/>
        </w:rPr>
        <w:t>每月10日12时前，交易中心根据上一月日清分结果、零售市场结算结果以及历史月份的退补结算结果，出具上月月结算临时结算结果，并发布给经营主体查询确认。具体包括：各经营主体当月累计结算电量、电价、电费、考核电费、分摊、返还等电费明细。</w:t>
      </w:r>
    </w:p>
    <w:p>
      <w:pPr>
        <w:pStyle w:val="67"/>
        <w:keepNext w:val="0"/>
        <w:keepLines w:val="0"/>
        <w:pageBreakBefore w:val="0"/>
        <w:widowControl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经营主体在月结算临时结算结果发布后，对结算数据进行确认，在1日内反馈意见，无反馈的视同确认无异议。</w:t>
      </w:r>
    </w:p>
    <w:p>
      <w:pPr>
        <w:pStyle w:val="67"/>
        <w:keepNext w:val="0"/>
        <w:keepLines w:val="0"/>
        <w:pageBreakBefore w:val="0"/>
        <w:widowControl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每月12日17时前，交易中心形成上一月的月结算正式结算结果，推送至电网企业并向经营主体发布。若电力现货市场结算基础数据延迟，则出具正式结算结果的日期相应顺延。</w:t>
      </w:r>
    </w:p>
    <w:p>
      <w:pPr>
        <w:pStyle w:val="67"/>
        <w:keepNext w:val="0"/>
        <w:keepLines w:val="0"/>
        <w:pageBreakBefore w:val="0"/>
        <w:widowControl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zh-CN"/>
        </w:rPr>
      </w:pPr>
      <w:bookmarkStart w:id="91" w:name="_Toc3475"/>
      <w:bookmarkStart w:id="92" w:name="_Toc16587"/>
      <w:r>
        <w:rPr>
          <w:rFonts w:hint="eastAsia" w:ascii="仿宋_GB2312" w:hAnsi="仿宋_GB2312" w:eastAsia="仿宋_GB2312" w:cs="仿宋_GB2312"/>
          <w:color w:val="auto"/>
          <w:sz w:val="32"/>
          <w:szCs w:val="32"/>
          <w:highlight w:val="none"/>
          <w:lang w:val="zh-CN"/>
        </w:rPr>
        <w:t>电网企业和经营主体收到交易中心正式结算依据后，按合同约定开展电费结算。</w:t>
      </w:r>
      <w:bookmarkEnd w:id="91"/>
      <w:bookmarkEnd w:id="92"/>
    </w:p>
    <w:p>
      <w:pPr>
        <w:pStyle w:val="67"/>
        <w:keepNext w:val="0"/>
        <w:keepLines w:val="0"/>
        <w:pageBreakBefore w:val="0"/>
        <w:widowControl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在日清、月结结果确认过程中，交易中心负责对经营主体市场结算电费异常进行处理，电网企业负责对电量异常进行处理。</w:t>
      </w:r>
      <w:bookmarkEnd w:id="89"/>
      <w:bookmarkEnd w:id="90"/>
    </w:p>
    <w:p>
      <w:pPr>
        <w:pStyle w:val="65"/>
        <w:keepNext w:val="0"/>
        <w:keepLines w:val="0"/>
        <w:pageBreakBefore w:val="0"/>
        <w:widowControl w:val="0"/>
        <w:numPr>
          <w:ilvl w:val="0"/>
          <w:numId w:val="10"/>
        </w:numP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黑体" w:hAnsi="黑体" w:eastAsia="黑体" w:cs="黑体"/>
          <w:color w:val="auto"/>
          <w:sz w:val="32"/>
          <w:szCs w:val="32"/>
          <w:highlight w:val="none"/>
          <w:lang w:val="zh-CN"/>
        </w:rPr>
      </w:pPr>
      <w:bookmarkStart w:id="93" w:name="_Toc5561"/>
      <w:bookmarkStart w:id="94" w:name="_Toc7567"/>
      <w:bookmarkStart w:id="95" w:name="_Toc20017"/>
      <w:bookmarkStart w:id="96" w:name="_Toc6447"/>
      <w:bookmarkStart w:id="97" w:name="_Toc11012"/>
      <w:bookmarkStart w:id="98" w:name="_Toc19406"/>
      <w:bookmarkStart w:id="99" w:name="_Toc15739"/>
      <w:bookmarkStart w:id="100" w:name="_Toc13276"/>
      <w:bookmarkStart w:id="101" w:name="_Toc5109"/>
      <w:bookmarkStart w:id="102" w:name="_Toc21649"/>
      <w:bookmarkStart w:id="103" w:name="_Toc21377"/>
      <w:bookmarkStart w:id="104" w:name="_Toc24959"/>
      <w:bookmarkStart w:id="105" w:name="_Toc497940073"/>
      <w:bookmarkStart w:id="106" w:name="_Toc504638444"/>
      <w:r>
        <w:rPr>
          <w:rFonts w:hint="eastAsia" w:ascii="黑体" w:hAnsi="黑体" w:eastAsia="黑体" w:cs="黑体"/>
          <w:color w:val="auto"/>
          <w:sz w:val="32"/>
          <w:szCs w:val="32"/>
          <w:highlight w:val="none"/>
          <w:lang w:val="zh-CN"/>
        </w:rPr>
        <w:t>批发市场结算</w:t>
      </w:r>
      <w:bookmarkEnd w:id="93"/>
      <w:bookmarkEnd w:id="94"/>
      <w:bookmarkEnd w:id="95"/>
      <w:bookmarkEnd w:id="96"/>
      <w:bookmarkEnd w:id="97"/>
      <w:bookmarkEnd w:id="98"/>
      <w:bookmarkEnd w:id="99"/>
      <w:bookmarkEnd w:id="100"/>
      <w:bookmarkEnd w:id="101"/>
      <w:bookmarkEnd w:id="102"/>
      <w:bookmarkEnd w:id="103"/>
      <w:bookmarkEnd w:id="104"/>
    </w:p>
    <w:bookmarkEnd w:id="105"/>
    <w:bookmarkEnd w:id="106"/>
    <w:p>
      <w:pPr>
        <w:pStyle w:val="66"/>
        <w:keepNext w:val="0"/>
        <w:keepLines w:val="0"/>
        <w:pageBreakBefore w:val="0"/>
        <w:numPr>
          <w:ilvl w:val="1"/>
          <w:numId w:val="10"/>
        </w:numPr>
        <w:kinsoku/>
        <w:wordWrap/>
        <w:overflowPunct/>
        <w:topLinePunct w:val="0"/>
        <w:autoSpaceDE/>
        <w:autoSpaceDN/>
        <w:bidi w:val="0"/>
        <w:adjustRightInd/>
        <w:snapToGrid/>
        <w:spacing w:line="560" w:lineRule="exact"/>
        <w:ind w:left="0" w:leftChars="0" w:firstLine="643" w:firstLineChars="200"/>
        <w:textAlignment w:val="auto"/>
        <w:outlineLvl w:val="1"/>
        <w:rPr>
          <w:rFonts w:hint="eastAsia" w:ascii="仿宋_GB2312" w:hAnsi="仿宋_GB2312" w:eastAsia="仿宋_GB2312" w:cs="仿宋_GB2312"/>
          <w:b/>
          <w:bCs/>
          <w:color w:val="auto"/>
          <w:sz w:val="32"/>
          <w:szCs w:val="32"/>
          <w:highlight w:val="none"/>
          <w:lang w:val="zh-CN"/>
        </w:rPr>
      </w:pPr>
      <w:bookmarkStart w:id="107" w:name="_Toc14942"/>
      <w:bookmarkStart w:id="108" w:name="_Toc27212"/>
      <w:r>
        <w:rPr>
          <w:rFonts w:hint="eastAsia" w:ascii="仿宋_GB2312" w:hAnsi="仿宋_GB2312" w:eastAsia="仿宋_GB2312" w:cs="仿宋_GB2312"/>
          <w:b/>
          <w:bCs/>
          <w:color w:val="auto"/>
          <w:sz w:val="32"/>
          <w:szCs w:val="32"/>
          <w:highlight w:val="none"/>
        </w:rPr>
        <w:t>用户侧</w:t>
      </w:r>
      <w:r>
        <w:rPr>
          <w:rFonts w:hint="eastAsia" w:ascii="仿宋_GB2312" w:hAnsi="仿宋_GB2312" w:eastAsia="仿宋_GB2312" w:cs="仿宋_GB2312"/>
          <w:b/>
          <w:bCs/>
          <w:color w:val="auto"/>
          <w:sz w:val="32"/>
          <w:szCs w:val="32"/>
          <w:highlight w:val="none"/>
          <w:lang w:val="zh-CN"/>
        </w:rPr>
        <w:t>结算</w:t>
      </w:r>
      <w:bookmarkEnd w:id="107"/>
      <w:bookmarkEnd w:id="108"/>
    </w:p>
    <w:p>
      <w:pPr>
        <w:pStyle w:val="38"/>
        <w:keepNext w:val="0"/>
        <w:keepLines w:val="0"/>
        <w:pageBreakBefore w:val="0"/>
        <w:numPr>
          <w:ilvl w:val="0"/>
          <w:numId w:val="0"/>
        </w:numPr>
        <w:tabs>
          <w:tab w:val="left" w:pos="540"/>
        </w:tabs>
        <w:kinsoku/>
        <w:wordWrap/>
        <w:overflowPunct/>
        <w:topLinePunct w:val="0"/>
        <w:autoSpaceDE/>
        <w:autoSpaceDN/>
        <w:bidi w:val="0"/>
        <w:adjustRightInd/>
        <w:snapToGrid/>
        <w:spacing w:beforeLines="0" w:line="560" w:lineRule="exact"/>
        <w:ind w:left="0" w:firstLine="640" w:firstLineChars="200"/>
        <w:textAlignment w:val="auto"/>
        <w:outlineLvl w:val="9"/>
        <w:rPr>
          <w:rFonts w:hint="eastAsia" w:ascii="仿宋_GB2312" w:hAnsi="仿宋_GB2312" w:eastAsia="仿宋_GB2312" w:cs="仿宋_GB2312"/>
          <w:color w:val="auto"/>
          <w:kern w:val="2"/>
          <w:sz w:val="32"/>
          <w:szCs w:val="32"/>
          <w:highlight w:val="none"/>
        </w:rPr>
      </w:pPr>
      <w:bookmarkStart w:id="109" w:name="_Toc3033"/>
      <w:bookmarkStart w:id="110" w:name="_Toc12713"/>
      <w:r>
        <w:rPr>
          <w:rFonts w:hint="eastAsia" w:ascii="仿宋_GB2312" w:hAnsi="仿宋_GB2312" w:eastAsia="仿宋_GB2312" w:cs="仿宋_GB2312"/>
          <w:b w:val="0"/>
          <w:bCs w:val="0"/>
          <w:color w:val="auto"/>
          <w:kern w:val="2"/>
          <w:sz w:val="32"/>
          <w:szCs w:val="32"/>
          <w:highlight w:val="none"/>
          <w:lang w:val="zh-CN"/>
        </w:rPr>
        <w:t>用户侧（售电公司和批发用户，下同）电费支出包含中长期合约电能量电费、日前市场偏差电能量电费、实时市场偏差电能量电费、</w:t>
      </w:r>
      <w:r>
        <w:rPr>
          <w:rFonts w:hint="eastAsia" w:ascii="仿宋_GB2312" w:hAnsi="仿宋_GB2312" w:eastAsia="仿宋_GB2312" w:cs="仿宋_GB2312"/>
          <w:b w:val="0"/>
          <w:bCs w:val="0"/>
          <w:color w:val="auto"/>
          <w:sz w:val="32"/>
          <w:szCs w:val="32"/>
          <w:highlight w:val="none"/>
          <w:vertAlign w:val="baseline"/>
          <w:lang w:val="en-US" w:eastAsia="zh-CN"/>
        </w:rPr>
        <w:t>峰谷浮动电费、</w:t>
      </w:r>
      <w:r>
        <w:rPr>
          <w:rFonts w:hint="eastAsia" w:ascii="仿宋_GB2312" w:hAnsi="仿宋_GB2312" w:eastAsia="仿宋_GB2312" w:cs="仿宋_GB2312"/>
          <w:b w:val="0"/>
          <w:bCs w:val="0"/>
          <w:color w:val="auto"/>
          <w:kern w:val="2"/>
          <w:sz w:val="32"/>
          <w:szCs w:val="32"/>
          <w:highlight w:val="none"/>
          <w:lang w:val="zh-CN"/>
        </w:rPr>
        <w:t>省间中长期合约阻塞电费、分摊电费、返还电费等。计算公式如下：</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vertAlign w:val="subscript"/>
          <w:lang w:val="en-US" w:eastAsia="zh-CN"/>
        </w:rPr>
      </w:pPr>
      <w:r>
        <w:rPr>
          <w:rFonts w:hint="eastAsia" w:ascii="仿宋_GB2312" w:hAnsi="仿宋_GB2312" w:eastAsia="仿宋_GB2312" w:cs="仿宋_GB2312"/>
          <w:bCs/>
          <w:color w:val="auto"/>
          <w:sz w:val="32"/>
          <w:szCs w:val="32"/>
          <w:highlight w:val="none"/>
        </w:rPr>
        <w:t>C</w:t>
      </w:r>
      <w:r>
        <w:rPr>
          <w:rFonts w:hint="eastAsia" w:ascii="仿宋_GB2312" w:hAnsi="仿宋_GB2312" w:eastAsia="仿宋_GB2312" w:cs="仿宋_GB2312"/>
          <w:bCs/>
          <w:color w:val="auto"/>
          <w:sz w:val="32"/>
          <w:szCs w:val="32"/>
          <w:highlight w:val="none"/>
          <w:vertAlign w:val="subscript"/>
        </w:rPr>
        <w:t>支出</w:t>
      </w:r>
      <w:r>
        <w:rPr>
          <w:rFonts w:hint="eastAsia" w:ascii="仿宋_GB2312" w:hAnsi="仿宋_GB2312" w:eastAsia="仿宋_GB2312" w:cs="仿宋_GB2312"/>
          <w:bCs/>
          <w:color w:val="auto"/>
          <w:sz w:val="32"/>
          <w:szCs w:val="32"/>
          <w:highlight w:val="none"/>
        </w:rPr>
        <w:t>=C</w:t>
      </w:r>
      <w:r>
        <w:rPr>
          <w:rFonts w:hint="eastAsia" w:ascii="仿宋_GB2312" w:hAnsi="仿宋_GB2312" w:eastAsia="仿宋_GB2312" w:cs="仿宋_GB2312"/>
          <w:bCs/>
          <w:color w:val="auto"/>
          <w:sz w:val="32"/>
          <w:szCs w:val="32"/>
          <w:highlight w:val="none"/>
          <w:vertAlign w:val="subscript"/>
        </w:rPr>
        <w:t>中长期合约</w:t>
      </w:r>
      <w:r>
        <w:rPr>
          <w:rFonts w:hint="eastAsia" w:ascii="仿宋_GB2312" w:hAnsi="仿宋_GB2312" w:eastAsia="仿宋_GB2312" w:cs="仿宋_GB2312"/>
          <w:bCs/>
          <w:color w:val="auto"/>
          <w:sz w:val="32"/>
          <w:szCs w:val="32"/>
          <w:highlight w:val="none"/>
        </w:rPr>
        <w:t>+C</w:t>
      </w:r>
      <w:r>
        <w:rPr>
          <w:rFonts w:hint="eastAsia" w:ascii="仿宋_GB2312" w:hAnsi="仿宋_GB2312" w:eastAsia="仿宋_GB2312" w:cs="仿宋_GB2312"/>
          <w:bCs/>
          <w:color w:val="auto"/>
          <w:sz w:val="32"/>
          <w:szCs w:val="32"/>
          <w:highlight w:val="none"/>
          <w:vertAlign w:val="subscript"/>
        </w:rPr>
        <w:t>日前</w:t>
      </w:r>
      <w:r>
        <w:rPr>
          <w:rFonts w:hint="eastAsia" w:ascii="仿宋_GB2312" w:hAnsi="仿宋_GB2312" w:eastAsia="仿宋_GB2312" w:cs="仿宋_GB2312"/>
          <w:bCs/>
          <w:color w:val="auto"/>
          <w:sz w:val="32"/>
          <w:szCs w:val="32"/>
          <w:highlight w:val="none"/>
        </w:rPr>
        <w:t>+C</w:t>
      </w:r>
      <w:r>
        <w:rPr>
          <w:rFonts w:hint="eastAsia" w:ascii="仿宋_GB2312" w:hAnsi="仿宋_GB2312" w:eastAsia="仿宋_GB2312" w:cs="仿宋_GB2312"/>
          <w:bCs/>
          <w:color w:val="auto"/>
          <w:sz w:val="32"/>
          <w:szCs w:val="32"/>
          <w:highlight w:val="none"/>
          <w:vertAlign w:val="subscript"/>
        </w:rPr>
        <w:t>实时</w:t>
      </w:r>
      <w:r>
        <w:rPr>
          <w:rFonts w:hint="eastAsia" w:ascii="仿宋_GB2312" w:hAnsi="仿宋_GB2312" w:eastAsia="仿宋_GB2312" w:cs="仿宋_GB2312"/>
          <w:bCs/>
          <w:color w:val="auto"/>
          <w:sz w:val="32"/>
          <w:szCs w:val="32"/>
          <w:highlight w:val="none"/>
          <w:vertAlign w:val="baseline"/>
          <w:lang w:val="en-US" w:eastAsia="zh-CN"/>
        </w:rPr>
        <w:t>+</w:t>
      </w:r>
      <w:r>
        <w:rPr>
          <w:rFonts w:hint="eastAsia" w:ascii="仿宋_GB2312" w:hAnsi="仿宋_GB2312" w:eastAsia="仿宋_GB2312" w:cs="仿宋_GB2312"/>
          <w:bCs/>
          <w:color w:val="auto"/>
          <w:sz w:val="32"/>
          <w:szCs w:val="32"/>
          <w:highlight w:val="none"/>
          <w:lang w:val="en-US" w:eastAsia="zh-CN"/>
        </w:rPr>
        <w:t>C</w:t>
      </w:r>
      <w:r>
        <w:rPr>
          <w:rFonts w:hint="eastAsia" w:ascii="仿宋_GB2312" w:hAnsi="仿宋_GB2312" w:eastAsia="仿宋_GB2312" w:cs="仿宋_GB2312"/>
          <w:bCs/>
          <w:color w:val="auto"/>
          <w:sz w:val="32"/>
          <w:szCs w:val="32"/>
          <w:highlight w:val="none"/>
          <w:vertAlign w:val="subscript"/>
          <w:lang w:val="en-US" w:eastAsia="zh-CN"/>
        </w:rPr>
        <w:t>峰谷电费</w:t>
      </w:r>
      <w:r>
        <w:rPr>
          <w:rFonts w:hint="eastAsia" w:ascii="仿宋_GB2312" w:hAnsi="仿宋_GB2312" w:eastAsia="仿宋_GB2312" w:cs="仿宋_GB2312"/>
          <w:bCs/>
          <w:color w:val="auto"/>
          <w:sz w:val="32"/>
          <w:szCs w:val="32"/>
          <w:highlight w:val="none"/>
        </w:rPr>
        <w:t>+</w:t>
      </w:r>
      <w:r>
        <w:rPr>
          <w:rFonts w:hint="eastAsia" w:ascii="仿宋_GB2312" w:hAnsi="仿宋_GB2312" w:eastAsia="仿宋_GB2312" w:cs="仿宋_GB2312"/>
          <w:bCs/>
          <w:color w:val="auto"/>
          <w:sz w:val="32"/>
          <w:szCs w:val="32"/>
          <w:highlight w:val="none"/>
          <w:lang w:val="en-US" w:eastAsia="zh-CN"/>
        </w:rPr>
        <w:t>C</w:t>
      </w:r>
      <w:r>
        <w:rPr>
          <w:rFonts w:hint="eastAsia" w:ascii="仿宋_GB2312" w:hAnsi="仿宋_GB2312" w:eastAsia="仿宋_GB2312" w:cs="仿宋_GB2312"/>
          <w:bCs/>
          <w:color w:val="auto"/>
          <w:sz w:val="32"/>
          <w:szCs w:val="32"/>
          <w:highlight w:val="none"/>
          <w:vertAlign w:val="subscript"/>
          <w:lang w:val="en-US" w:eastAsia="zh-CN"/>
        </w:rPr>
        <w:t>省间中长期合约阻塞</w:t>
      </w:r>
      <w:r>
        <w:rPr>
          <w:rFonts w:hint="eastAsia" w:ascii="仿宋_GB2312" w:hAnsi="仿宋_GB2312" w:eastAsia="仿宋_GB2312" w:cs="仿宋_GB2312"/>
          <w:bCs/>
          <w:color w:val="auto"/>
          <w:sz w:val="32"/>
          <w:szCs w:val="32"/>
          <w:highlight w:val="none"/>
        </w:rPr>
        <w:t>+C</w:t>
      </w:r>
      <w:r>
        <w:rPr>
          <w:rFonts w:hint="eastAsia" w:ascii="仿宋_GB2312" w:hAnsi="仿宋_GB2312" w:eastAsia="仿宋_GB2312" w:cs="仿宋_GB2312"/>
          <w:bCs/>
          <w:color w:val="auto"/>
          <w:sz w:val="32"/>
          <w:szCs w:val="32"/>
          <w:highlight w:val="none"/>
          <w:vertAlign w:val="subscript"/>
        </w:rPr>
        <w:t>分摊</w:t>
      </w:r>
      <w:r>
        <w:rPr>
          <w:rFonts w:hint="eastAsia" w:ascii="仿宋_GB2312" w:hAnsi="仿宋_GB2312" w:eastAsia="仿宋_GB2312" w:cs="仿宋_GB2312"/>
          <w:bCs/>
          <w:color w:val="auto"/>
          <w:sz w:val="32"/>
          <w:szCs w:val="32"/>
          <w:highlight w:val="none"/>
        </w:rPr>
        <w:t>+C</w:t>
      </w:r>
      <w:r>
        <w:rPr>
          <w:rFonts w:hint="eastAsia" w:ascii="仿宋_GB2312" w:hAnsi="仿宋_GB2312" w:eastAsia="仿宋_GB2312" w:cs="仿宋_GB2312"/>
          <w:bCs/>
          <w:color w:val="auto"/>
          <w:sz w:val="32"/>
          <w:szCs w:val="32"/>
          <w:highlight w:val="none"/>
          <w:vertAlign w:val="subscript"/>
        </w:rPr>
        <w:t>返还</w:t>
      </w:r>
      <w:r>
        <w:rPr>
          <w:rFonts w:hint="eastAsia" w:ascii="仿宋_GB2312" w:hAnsi="仿宋_GB2312" w:eastAsia="仿宋_GB2312" w:cs="仿宋_GB2312"/>
          <w:bCs/>
          <w:color w:val="auto"/>
          <w:sz w:val="32"/>
          <w:szCs w:val="32"/>
          <w:highlight w:val="none"/>
          <w:vertAlign w:val="baseline"/>
          <w:lang w:val="en-US" w:eastAsia="zh-CN"/>
        </w:rPr>
        <w:t>+</w:t>
      </w:r>
      <w:r>
        <w:rPr>
          <w:rFonts w:hint="eastAsia" w:ascii="仿宋_GB2312" w:hAnsi="仿宋_GB2312" w:eastAsia="仿宋_GB2312" w:cs="仿宋_GB2312"/>
          <w:bCs/>
          <w:color w:val="auto"/>
          <w:sz w:val="32"/>
          <w:szCs w:val="32"/>
          <w:highlight w:val="none"/>
          <w:lang w:val="en-US" w:eastAsia="zh-CN"/>
        </w:rPr>
        <w:t>R</w:t>
      </w:r>
      <w:r>
        <w:rPr>
          <w:rFonts w:hint="eastAsia" w:ascii="仿宋_GB2312" w:hAnsi="仿宋_GB2312" w:eastAsia="仿宋_GB2312" w:cs="仿宋_GB2312"/>
          <w:bCs/>
          <w:color w:val="auto"/>
          <w:sz w:val="32"/>
          <w:szCs w:val="32"/>
          <w:highlight w:val="none"/>
          <w:vertAlign w:val="subscript"/>
        </w:rPr>
        <w:t>跨省不平衡资金</w:t>
      </w:r>
      <w:r>
        <w:rPr>
          <w:rFonts w:hint="eastAsia" w:ascii="仿宋_GB2312" w:hAnsi="仿宋_GB2312" w:eastAsia="仿宋_GB2312" w:cs="仿宋_GB2312"/>
          <w:color w:val="auto"/>
          <w:sz w:val="32"/>
          <w:szCs w:val="32"/>
          <w:highlight w:val="none"/>
          <w:vertAlign w:val="subscript"/>
        </w:rPr>
        <w:t>（省内）</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其中：</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C</w:t>
      </w:r>
      <w:r>
        <w:rPr>
          <w:rFonts w:hint="eastAsia" w:ascii="仿宋_GB2312" w:hAnsi="仿宋_GB2312" w:eastAsia="仿宋_GB2312" w:cs="仿宋_GB2312"/>
          <w:bCs/>
          <w:color w:val="auto"/>
          <w:sz w:val="32"/>
          <w:szCs w:val="32"/>
          <w:highlight w:val="none"/>
          <w:vertAlign w:val="subscript"/>
        </w:rPr>
        <w:t>支出</w:t>
      </w:r>
      <w:r>
        <w:rPr>
          <w:rFonts w:hint="eastAsia" w:ascii="仿宋_GB2312" w:hAnsi="仿宋_GB2312" w:eastAsia="仿宋_GB2312" w:cs="仿宋_GB2312"/>
          <w:bCs/>
          <w:color w:val="auto"/>
          <w:sz w:val="32"/>
          <w:szCs w:val="32"/>
          <w:highlight w:val="none"/>
        </w:rPr>
        <w:t>为用户侧电费支出；</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C</w:t>
      </w:r>
      <w:r>
        <w:rPr>
          <w:rFonts w:hint="eastAsia" w:ascii="仿宋_GB2312" w:hAnsi="仿宋_GB2312" w:eastAsia="仿宋_GB2312" w:cs="仿宋_GB2312"/>
          <w:bCs/>
          <w:color w:val="auto"/>
          <w:sz w:val="32"/>
          <w:szCs w:val="32"/>
          <w:highlight w:val="none"/>
          <w:vertAlign w:val="subscript"/>
        </w:rPr>
        <w:t>中长期合约</w:t>
      </w:r>
      <w:r>
        <w:rPr>
          <w:rFonts w:hint="eastAsia" w:ascii="仿宋_GB2312" w:hAnsi="仿宋_GB2312" w:eastAsia="仿宋_GB2312" w:cs="仿宋_GB2312"/>
          <w:bCs/>
          <w:color w:val="auto"/>
          <w:sz w:val="32"/>
          <w:szCs w:val="32"/>
          <w:highlight w:val="none"/>
        </w:rPr>
        <w:t>为用户侧中长期合约</w:t>
      </w:r>
      <w:r>
        <w:rPr>
          <w:rFonts w:hint="eastAsia" w:ascii="仿宋_GB2312" w:hAnsi="仿宋_GB2312" w:eastAsia="仿宋_GB2312" w:cs="仿宋_GB2312"/>
          <w:b w:val="0"/>
          <w:bCs w:val="0"/>
          <w:color w:val="auto"/>
          <w:kern w:val="2"/>
          <w:sz w:val="32"/>
          <w:szCs w:val="32"/>
          <w:highlight w:val="none"/>
          <w:lang w:val="zh-CN"/>
        </w:rPr>
        <w:t>电能量</w:t>
      </w:r>
      <w:r>
        <w:rPr>
          <w:rFonts w:hint="eastAsia" w:ascii="仿宋_GB2312" w:hAnsi="仿宋_GB2312" w:eastAsia="仿宋_GB2312" w:cs="仿宋_GB2312"/>
          <w:bCs/>
          <w:color w:val="auto"/>
          <w:sz w:val="32"/>
          <w:szCs w:val="32"/>
          <w:highlight w:val="none"/>
        </w:rPr>
        <w:t>电费；</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C</w:t>
      </w:r>
      <w:r>
        <w:rPr>
          <w:rFonts w:hint="eastAsia" w:ascii="仿宋_GB2312" w:hAnsi="仿宋_GB2312" w:eastAsia="仿宋_GB2312" w:cs="仿宋_GB2312"/>
          <w:bCs/>
          <w:color w:val="auto"/>
          <w:sz w:val="32"/>
          <w:szCs w:val="32"/>
          <w:highlight w:val="none"/>
          <w:vertAlign w:val="subscript"/>
        </w:rPr>
        <w:t>日前</w:t>
      </w:r>
      <w:r>
        <w:rPr>
          <w:rFonts w:hint="eastAsia" w:ascii="仿宋_GB2312" w:hAnsi="仿宋_GB2312" w:eastAsia="仿宋_GB2312" w:cs="仿宋_GB2312"/>
          <w:bCs/>
          <w:color w:val="auto"/>
          <w:sz w:val="32"/>
          <w:szCs w:val="32"/>
          <w:highlight w:val="none"/>
        </w:rPr>
        <w:t>为用户侧日前市场偏差</w:t>
      </w:r>
      <w:r>
        <w:rPr>
          <w:rFonts w:hint="eastAsia" w:ascii="仿宋_GB2312" w:hAnsi="仿宋_GB2312" w:eastAsia="仿宋_GB2312" w:cs="仿宋_GB2312"/>
          <w:b w:val="0"/>
          <w:bCs w:val="0"/>
          <w:color w:val="auto"/>
          <w:kern w:val="2"/>
          <w:sz w:val="32"/>
          <w:szCs w:val="32"/>
          <w:highlight w:val="none"/>
          <w:lang w:val="zh-CN"/>
        </w:rPr>
        <w:t>电能量</w:t>
      </w:r>
      <w:r>
        <w:rPr>
          <w:rFonts w:hint="eastAsia" w:ascii="仿宋_GB2312" w:hAnsi="仿宋_GB2312" w:eastAsia="仿宋_GB2312" w:cs="仿宋_GB2312"/>
          <w:bCs/>
          <w:color w:val="auto"/>
          <w:sz w:val="32"/>
          <w:szCs w:val="32"/>
          <w:highlight w:val="none"/>
        </w:rPr>
        <w:t>电费；</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C</w:t>
      </w:r>
      <w:r>
        <w:rPr>
          <w:rFonts w:hint="eastAsia" w:ascii="仿宋_GB2312" w:hAnsi="仿宋_GB2312" w:eastAsia="仿宋_GB2312" w:cs="仿宋_GB2312"/>
          <w:bCs/>
          <w:color w:val="auto"/>
          <w:sz w:val="32"/>
          <w:szCs w:val="32"/>
          <w:highlight w:val="none"/>
          <w:vertAlign w:val="subscript"/>
        </w:rPr>
        <w:t>实时</w:t>
      </w:r>
      <w:r>
        <w:rPr>
          <w:rFonts w:hint="eastAsia" w:ascii="仿宋_GB2312" w:hAnsi="仿宋_GB2312" w:eastAsia="仿宋_GB2312" w:cs="仿宋_GB2312"/>
          <w:bCs/>
          <w:color w:val="auto"/>
          <w:sz w:val="32"/>
          <w:szCs w:val="32"/>
          <w:highlight w:val="none"/>
        </w:rPr>
        <w:t>为用户侧实时市场偏差</w:t>
      </w:r>
      <w:r>
        <w:rPr>
          <w:rFonts w:hint="eastAsia" w:ascii="仿宋_GB2312" w:hAnsi="仿宋_GB2312" w:eastAsia="仿宋_GB2312" w:cs="仿宋_GB2312"/>
          <w:b w:val="0"/>
          <w:bCs w:val="0"/>
          <w:color w:val="auto"/>
          <w:kern w:val="2"/>
          <w:sz w:val="32"/>
          <w:szCs w:val="32"/>
          <w:highlight w:val="none"/>
          <w:lang w:val="zh-CN"/>
        </w:rPr>
        <w:t>电能量</w:t>
      </w:r>
      <w:r>
        <w:rPr>
          <w:rFonts w:hint="eastAsia" w:ascii="仿宋_GB2312" w:hAnsi="仿宋_GB2312" w:eastAsia="仿宋_GB2312" w:cs="仿宋_GB2312"/>
          <w:bCs/>
          <w:color w:val="auto"/>
          <w:sz w:val="32"/>
          <w:szCs w:val="32"/>
          <w:highlight w:val="none"/>
        </w:rPr>
        <w:t>电费；</w:t>
      </w:r>
    </w:p>
    <w:p>
      <w:pPr>
        <w:pStyle w:val="22"/>
        <w:ind w:left="0" w:leftChars="0" w:firstLine="640" w:firstLineChars="200"/>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C</w:t>
      </w:r>
      <w:r>
        <w:rPr>
          <w:rFonts w:hint="eastAsia" w:ascii="仿宋_GB2312" w:hAnsi="仿宋_GB2312" w:eastAsia="仿宋_GB2312" w:cs="仿宋_GB2312"/>
          <w:bCs/>
          <w:color w:val="auto"/>
          <w:sz w:val="32"/>
          <w:szCs w:val="32"/>
          <w:highlight w:val="none"/>
          <w:vertAlign w:val="subscript"/>
          <w:lang w:val="en-US" w:eastAsia="zh-CN"/>
        </w:rPr>
        <w:t>峰谷电费</w:t>
      </w:r>
      <w:r>
        <w:rPr>
          <w:rFonts w:hint="eastAsia" w:ascii="仿宋_GB2312" w:hAnsi="仿宋_GB2312" w:eastAsia="仿宋_GB2312" w:cs="仿宋_GB2312"/>
          <w:bCs/>
          <w:color w:val="auto"/>
          <w:sz w:val="32"/>
          <w:szCs w:val="32"/>
          <w:highlight w:val="none"/>
          <w:vertAlign w:val="baseline"/>
          <w:lang w:val="en-US" w:eastAsia="zh-CN"/>
        </w:rPr>
        <w:t>为电力用户的峰谷浮动电费；</w:t>
      </w:r>
    </w:p>
    <w:p>
      <w:pPr>
        <w:pStyle w:val="22"/>
        <w:ind w:left="0" w:leftChars="0" w:firstLine="640" w:firstLineChars="200"/>
        <w:rPr>
          <w:rFonts w:hint="default" w:ascii="仿宋_GB2312" w:hAnsi="仿宋_GB2312" w:eastAsia="仿宋_GB2312" w:cs="仿宋_GB2312"/>
          <w:bCs/>
          <w:color w:val="auto"/>
          <w:sz w:val="32"/>
          <w:szCs w:val="32"/>
          <w:highlight w:val="none"/>
          <w:vertAlign w:val="baseline"/>
        </w:rPr>
      </w:pPr>
      <w:r>
        <w:rPr>
          <w:rFonts w:hint="eastAsia" w:ascii="仿宋_GB2312" w:hAnsi="仿宋_GB2312" w:eastAsia="仿宋_GB2312" w:cs="仿宋_GB2312"/>
          <w:bCs/>
          <w:color w:val="auto"/>
          <w:sz w:val="32"/>
          <w:szCs w:val="32"/>
          <w:highlight w:val="none"/>
          <w:lang w:val="en-US" w:eastAsia="zh-CN"/>
        </w:rPr>
        <w:t>C</w:t>
      </w:r>
      <w:r>
        <w:rPr>
          <w:rFonts w:hint="eastAsia" w:ascii="仿宋_GB2312" w:hAnsi="仿宋_GB2312" w:eastAsia="仿宋_GB2312" w:cs="仿宋_GB2312"/>
          <w:bCs/>
          <w:color w:val="auto"/>
          <w:sz w:val="32"/>
          <w:szCs w:val="32"/>
          <w:highlight w:val="none"/>
          <w:vertAlign w:val="subscript"/>
          <w:lang w:val="en-US" w:eastAsia="zh-CN"/>
        </w:rPr>
        <w:t>省间中长期合约阻塞</w:t>
      </w:r>
      <w:r>
        <w:rPr>
          <w:rFonts w:hint="eastAsia" w:ascii="仿宋_GB2312" w:hAnsi="仿宋_GB2312" w:eastAsia="仿宋_GB2312" w:cs="仿宋_GB2312"/>
          <w:bCs/>
          <w:color w:val="auto"/>
          <w:sz w:val="32"/>
          <w:szCs w:val="32"/>
          <w:highlight w:val="none"/>
          <w:vertAlign w:val="baseline"/>
          <w:lang w:val="en-US" w:eastAsia="zh-CN"/>
        </w:rPr>
        <w:t>为用户侧省间中长期合约阻塞电费；</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C</w:t>
      </w:r>
      <w:r>
        <w:rPr>
          <w:rFonts w:hint="eastAsia" w:ascii="仿宋_GB2312" w:hAnsi="仿宋_GB2312" w:eastAsia="仿宋_GB2312" w:cs="仿宋_GB2312"/>
          <w:bCs/>
          <w:color w:val="auto"/>
          <w:sz w:val="32"/>
          <w:szCs w:val="32"/>
          <w:highlight w:val="none"/>
          <w:vertAlign w:val="subscript"/>
        </w:rPr>
        <w:t>分摊</w:t>
      </w:r>
      <w:r>
        <w:rPr>
          <w:rFonts w:hint="eastAsia" w:ascii="仿宋_GB2312" w:hAnsi="仿宋_GB2312" w:eastAsia="仿宋_GB2312" w:cs="仿宋_GB2312"/>
          <w:bCs/>
          <w:color w:val="auto"/>
          <w:sz w:val="32"/>
          <w:szCs w:val="32"/>
          <w:highlight w:val="none"/>
        </w:rPr>
        <w:t>为用户的系统运行补偿等分摊电费，具体见</w:t>
      </w:r>
      <w:r>
        <w:rPr>
          <w:rFonts w:hint="eastAsia" w:ascii="仿宋_GB2312" w:hAnsi="仿宋_GB2312" w:eastAsia="仿宋_GB2312" w:cs="仿宋_GB2312"/>
          <w:bCs/>
          <w:color w:val="auto"/>
          <w:sz w:val="32"/>
          <w:szCs w:val="32"/>
          <w:highlight w:val="none"/>
          <w:lang w:val="en-US" w:eastAsia="zh-CN"/>
        </w:rPr>
        <w:t>7</w:t>
      </w:r>
      <w:r>
        <w:rPr>
          <w:rFonts w:hint="eastAsia" w:ascii="仿宋_GB2312" w:hAnsi="仿宋_GB2312" w:eastAsia="仿宋_GB2312" w:cs="仿宋_GB2312"/>
          <w:bCs/>
          <w:color w:val="auto"/>
          <w:sz w:val="32"/>
          <w:szCs w:val="32"/>
          <w:highlight w:val="none"/>
        </w:rPr>
        <w:t>章；</w:t>
      </w:r>
    </w:p>
    <w:p>
      <w:pPr>
        <w:pStyle w:val="23"/>
        <w:keepNext w:val="0"/>
        <w:keepLines w:val="0"/>
        <w:pageBreakBefore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C</w:t>
      </w:r>
      <w:r>
        <w:rPr>
          <w:rFonts w:hint="eastAsia" w:ascii="仿宋_GB2312" w:hAnsi="仿宋_GB2312" w:eastAsia="仿宋_GB2312" w:cs="仿宋_GB2312"/>
          <w:bCs/>
          <w:color w:val="auto"/>
          <w:sz w:val="32"/>
          <w:szCs w:val="32"/>
          <w:highlight w:val="none"/>
          <w:vertAlign w:val="subscript"/>
        </w:rPr>
        <w:t>返还</w:t>
      </w:r>
      <w:r>
        <w:rPr>
          <w:rFonts w:hint="eastAsia" w:ascii="仿宋_GB2312" w:hAnsi="仿宋_GB2312" w:eastAsia="仿宋_GB2312" w:cs="仿宋_GB2312"/>
          <w:bCs/>
          <w:color w:val="auto"/>
          <w:sz w:val="32"/>
          <w:szCs w:val="32"/>
          <w:highlight w:val="none"/>
        </w:rPr>
        <w:t>为用户的用户侧偏差收益转移等返还电费，具体见</w:t>
      </w:r>
      <w:r>
        <w:rPr>
          <w:rFonts w:hint="eastAsia" w:ascii="仿宋_GB2312" w:hAnsi="仿宋_GB2312" w:eastAsia="仿宋_GB2312" w:cs="仿宋_GB2312"/>
          <w:bCs/>
          <w:color w:val="auto"/>
          <w:sz w:val="32"/>
          <w:szCs w:val="32"/>
          <w:highlight w:val="none"/>
          <w:lang w:val="en-US" w:eastAsia="zh-CN"/>
        </w:rPr>
        <w:t>7</w:t>
      </w:r>
      <w:r>
        <w:rPr>
          <w:rFonts w:hint="eastAsia" w:ascii="仿宋_GB2312" w:hAnsi="仿宋_GB2312" w:eastAsia="仿宋_GB2312" w:cs="仿宋_GB2312"/>
          <w:bCs/>
          <w:color w:val="auto"/>
          <w:sz w:val="32"/>
          <w:szCs w:val="32"/>
          <w:highlight w:val="none"/>
        </w:rPr>
        <w:t>章。</w:t>
      </w:r>
    </w:p>
    <w:p>
      <w:pPr>
        <w:pStyle w:val="23"/>
        <w:keepNext w:val="0"/>
        <w:keepLines w:val="0"/>
        <w:pageBreakBefore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rPr>
        <w:t>跨省不平衡资金</w:t>
      </w:r>
      <w:r>
        <w:rPr>
          <w:rFonts w:hint="eastAsia" w:ascii="仿宋_GB2312" w:hAnsi="仿宋_GB2312" w:eastAsia="仿宋_GB2312" w:cs="仿宋_GB2312"/>
          <w:color w:val="auto"/>
          <w:sz w:val="32"/>
          <w:szCs w:val="32"/>
          <w:highlight w:val="none"/>
          <w:vertAlign w:val="subscript"/>
        </w:rPr>
        <w:t>（省内）</w:t>
      </w:r>
      <w:r>
        <w:rPr>
          <w:rFonts w:hint="eastAsia" w:ascii="仿宋_GB2312" w:hAnsi="仿宋_GB2312" w:eastAsia="仿宋_GB2312" w:cs="仿宋_GB2312"/>
          <w:bCs/>
          <w:color w:val="auto"/>
          <w:sz w:val="32"/>
          <w:szCs w:val="32"/>
          <w:highlight w:val="none"/>
        </w:rPr>
        <w:t>为</w:t>
      </w:r>
      <w:r>
        <w:rPr>
          <w:rFonts w:hint="eastAsia" w:ascii="仿宋_GB2312" w:hAnsi="仿宋_GB2312" w:eastAsia="仿宋_GB2312" w:cs="仿宋_GB2312"/>
          <w:bCs/>
          <w:color w:val="auto"/>
          <w:sz w:val="32"/>
          <w:szCs w:val="32"/>
          <w:highlight w:val="none"/>
          <w:lang w:eastAsia="zh-CN"/>
        </w:rPr>
        <w:t>经营主体</w:t>
      </w:r>
      <w:r>
        <w:rPr>
          <w:rFonts w:hint="eastAsia" w:ascii="仿宋_GB2312" w:hAnsi="仿宋_GB2312" w:eastAsia="仿宋_GB2312" w:cs="仿宋_GB2312"/>
          <w:bCs/>
          <w:color w:val="auto"/>
          <w:sz w:val="32"/>
          <w:szCs w:val="32"/>
          <w:highlight w:val="none"/>
        </w:rPr>
        <w:t>需承担的跨省结算不平衡资金分摊或分享费用</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rPr>
        <w:t>详见</w:t>
      </w:r>
      <w:r>
        <w:rPr>
          <w:rFonts w:hint="eastAsia" w:ascii="仿宋_GB2312" w:hAnsi="仿宋_GB2312" w:eastAsia="仿宋_GB2312" w:cs="仿宋_GB2312"/>
          <w:bCs/>
          <w:color w:val="auto"/>
          <w:sz w:val="32"/>
          <w:szCs w:val="32"/>
          <w:highlight w:val="none"/>
          <w:lang w:val="en-US" w:eastAsia="zh-CN"/>
        </w:rPr>
        <w:t>7.4.1</w:t>
      </w:r>
      <w:r>
        <w:rPr>
          <w:rFonts w:hint="eastAsia" w:ascii="仿宋_GB2312" w:hAnsi="仿宋_GB2312" w:eastAsia="仿宋_GB2312" w:cs="仿宋_GB2312"/>
          <w:bCs/>
          <w:color w:val="auto"/>
          <w:sz w:val="32"/>
          <w:szCs w:val="32"/>
          <w:highlight w:val="none"/>
        </w:rPr>
        <w:t>；</w:t>
      </w:r>
    </w:p>
    <w:p>
      <w:pPr>
        <w:pStyle w:val="67"/>
        <w:keepNext w:val="0"/>
        <w:keepLines w:val="0"/>
        <w:pageBreakBefore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outlineLvl w:val="2"/>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中长期合约</w:t>
      </w:r>
      <w:r>
        <w:rPr>
          <w:rFonts w:hint="eastAsia" w:ascii="仿宋_GB2312" w:hAnsi="仿宋_GB2312" w:eastAsia="仿宋_GB2312" w:cs="仿宋_GB2312"/>
          <w:b w:val="0"/>
          <w:bCs w:val="0"/>
          <w:color w:val="auto"/>
          <w:kern w:val="2"/>
          <w:sz w:val="32"/>
          <w:szCs w:val="32"/>
          <w:highlight w:val="none"/>
          <w:lang w:val="zh-CN"/>
        </w:rPr>
        <w:t>电能量</w:t>
      </w:r>
      <w:r>
        <w:rPr>
          <w:rFonts w:hint="eastAsia" w:ascii="仿宋_GB2312" w:hAnsi="仿宋_GB2312" w:eastAsia="仿宋_GB2312" w:cs="仿宋_GB2312"/>
          <w:color w:val="auto"/>
          <w:sz w:val="32"/>
          <w:szCs w:val="32"/>
          <w:highlight w:val="none"/>
          <w:lang w:val="zh-CN"/>
        </w:rPr>
        <w:t>电费结算</w:t>
      </w:r>
      <w:bookmarkEnd w:id="109"/>
      <w:bookmarkEnd w:id="110"/>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用户侧中长期合约按小时开展</w:t>
      </w:r>
      <w:r>
        <w:rPr>
          <w:rFonts w:hint="eastAsia" w:ascii="仿宋_GB2312" w:hAnsi="仿宋_GB2312" w:eastAsia="仿宋_GB2312" w:cs="仿宋_GB2312"/>
          <w:bCs/>
          <w:color w:val="auto"/>
          <w:sz w:val="32"/>
          <w:szCs w:val="32"/>
          <w:highlight w:val="none"/>
          <w:lang w:eastAsia="zh-CN"/>
        </w:rPr>
        <w:t>电费</w:t>
      </w:r>
      <w:r>
        <w:rPr>
          <w:rFonts w:hint="eastAsia" w:ascii="仿宋_GB2312" w:hAnsi="仿宋_GB2312" w:eastAsia="仿宋_GB2312" w:cs="仿宋_GB2312"/>
          <w:bCs/>
          <w:color w:val="auto"/>
          <w:sz w:val="32"/>
          <w:szCs w:val="32"/>
          <w:highlight w:val="none"/>
        </w:rPr>
        <w:t>结算，按照合约分时电量、合约分时电价计算中长期</w:t>
      </w:r>
      <w:r>
        <w:rPr>
          <w:rFonts w:hint="eastAsia" w:ascii="仿宋_GB2312" w:hAnsi="仿宋_GB2312" w:eastAsia="仿宋_GB2312" w:cs="仿宋_GB2312"/>
          <w:bCs/>
          <w:color w:val="auto"/>
          <w:sz w:val="32"/>
          <w:szCs w:val="32"/>
          <w:highlight w:val="none"/>
          <w:lang w:eastAsia="zh-CN"/>
        </w:rPr>
        <w:t>合约</w:t>
      </w:r>
      <w:r>
        <w:rPr>
          <w:rFonts w:hint="eastAsia" w:ascii="仿宋_GB2312" w:hAnsi="仿宋_GB2312" w:eastAsia="仿宋_GB2312" w:cs="仿宋_GB2312"/>
          <w:bCs/>
          <w:color w:val="auto"/>
          <w:sz w:val="32"/>
          <w:szCs w:val="32"/>
          <w:highlight w:val="none"/>
        </w:rPr>
        <w:t>电费。公式为：</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C</w:t>
      </w:r>
      <w:r>
        <w:rPr>
          <w:rFonts w:hint="eastAsia" w:ascii="仿宋_GB2312" w:hAnsi="仿宋_GB2312" w:eastAsia="仿宋_GB2312" w:cs="仿宋_GB2312"/>
          <w:bCs/>
          <w:color w:val="auto"/>
          <w:sz w:val="32"/>
          <w:szCs w:val="32"/>
          <w:highlight w:val="none"/>
          <w:vertAlign w:val="subscript"/>
        </w:rPr>
        <w:t>中长期合约</w:t>
      </w:r>
      <w:r>
        <w:rPr>
          <w:rFonts w:hint="eastAsia" w:ascii="仿宋_GB2312" w:hAnsi="仿宋_GB2312" w:eastAsia="仿宋_GB2312" w:cs="仿宋_GB2312"/>
          <w:bCs/>
          <w:color w:val="auto"/>
          <w:sz w:val="32"/>
          <w:szCs w:val="32"/>
          <w:highlight w:val="none"/>
        </w:rPr>
        <w:t>=Σ（Q</w:t>
      </w:r>
      <w:r>
        <w:rPr>
          <w:rFonts w:hint="eastAsia" w:ascii="仿宋_GB2312" w:hAnsi="仿宋_GB2312" w:eastAsia="仿宋_GB2312" w:cs="仿宋_GB2312"/>
          <w:bCs/>
          <w:color w:val="auto"/>
          <w:sz w:val="32"/>
          <w:szCs w:val="32"/>
          <w:highlight w:val="none"/>
          <w:vertAlign w:val="subscript"/>
        </w:rPr>
        <w:t>中长期合约,t</w:t>
      </w: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bCs/>
          <w:color w:val="auto"/>
          <w:sz w:val="32"/>
          <w:szCs w:val="32"/>
          <w:highlight w:val="none"/>
          <w:vertAlign w:val="subscript"/>
        </w:rPr>
        <w:t>中长期合约,t</w:t>
      </w:r>
      <w:r>
        <w:rPr>
          <w:rFonts w:hint="eastAsia" w:ascii="仿宋_GB2312" w:hAnsi="仿宋_GB2312" w:eastAsia="仿宋_GB2312" w:cs="仿宋_GB2312"/>
          <w:bCs/>
          <w:color w:val="auto"/>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其中：</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C</w:t>
      </w:r>
      <w:r>
        <w:rPr>
          <w:rFonts w:hint="eastAsia" w:ascii="仿宋_GB2312" w:hAnsi="仿宋_GB2312" w:eastAsia="仿宋_GB2312" w:cs="仿宋_GB2312"/>
          <w:bCs/>
          <w:color w:val="auto"/>
          <w:sz w:val="32"/>
          <w:szCs w:val="32"/>
          <w:highlight w:val="none"/>
          <w:vertAlign w:val="subscript"/>
        </w:rPr>
        <w:t xml:space="preserve">中长期合约 </w:t>
      </w:r>
      <w:r>
        <w:rPr>
          <w:rFonts w:hint="eastAsia" w:ascii="仿宋_GB2312" w:hAnsi="仿宋_GB2312" w:eastAsia="仿宋_GB2312" w:cs="仿宋_GB2312"/>
          <w:bCs/>
          <w:color w:val="auto"/>
          <w:sz w:val="32"/>
          <w:szCs w:val="32"/>
          <w:highlight w:val="none"/>
        </w:rPr>
        <w:t>为用户中长期</w:t>
      </w:r>
      <w:r>
        <w:rPr>
          <w:rFonts w:hint="eastAsia" w:ascii="仿宋_GB2312" w:hAnsi="仿宋_GB2312" w:eastAsia="仿宋_GB2312" w:cs="仿宋_GB2312"/>
          <w:bCs/>
          <w:color w:val="auto"/>
          <w:sz w:val="32"/>
          <w:szCs w:val="32"/>
          <w:highlight w:val="none"/>
          <w:lang w:eastAsia="zh-CN"/>
        </w:rPr>
        <w:t>合约</w:t>
      </w:r>
      <w:r>
        <w:rPr>
          <w:rFonts w:hint="eastAsia" w:ascii="仿宋_GB2312" w:hAnsi="仿宋_GB2312" w:eastAsia="仿宋_GB2312" w:cs="仿宋_GB2312"/>
          <w:b w:val="0"/>
          <w:bCs w:val="0"/>
          <w:color w:val="auto"/>
          <w:kern w:val="2"/>
          <w:sz w:val="32"/>
          <w:szCs w:val="32"/>
          <w:highlight w:val="none"/>
          <w:lang w:val="zh-CN"/>
        </w:rPr>
        <w:t>电能量</w:t>
      </w:r>
      <w:r>
        <w:rPr>
          <w:rFonts w:hint="eastAsia" w:ascii="仿宋_GB2312" w:hAnsi="仿宋_GB2312" w:eastAsia="仿宋_GB2312" w:cs="仿宋_GB2312"/>
          <w:bCs/>
          <w:color w:val="auto"/>
          <w:sz w:val="32"/>
          <w:szCs w:val="32"/>
          <w:highlight w:val="none"/>
        </w:rPr>
        <w:t>电费；</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bCs/>
          <w:color w:val="auto"/>
          <w:sz w:val="32"/>
          <w:szCs w:val="32"/>
          <w:highlight w:val="none"/>
          <w:vertAlign w:val="subscript"/>
        </w:rPr>
        <w:t>中长期合约,t</w:t>
      </w:r>
      <w:r>
        <w:rPr>
          <w:rFonts w:hint="eastAsia" w:ascii="仿宋_GB2312" w:hAnsi="仿宋_GB2312" w:eastAsia="仿宋_GB2312" w:cs="仿宋_GB2312"/>
          <w:bCs/>
          <w:color w:val="auto"/>
          <w:sz w:val="32"/>
          <w:szCs w:val="32"/>
          <w:highlight w:val="none"/>
        </w:rPr>
        <w:t>为T时段中长期合约电量，合约包括省间中长期合约、省内中长期合约；</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bCs/>
          <w:color w:val="auto"/>
          <w:sz w:val="32"/>
          <w:szCs w:val="32"/>
          <w:highlight w:val="none"/>
          <w:vertAlign w:val="subscript"/>
        </w:rPr>
        <w:t>中长期合约,t</w:t>
      </w:r>
      <w:r>
        <w:rPr>
          <w:rFonts w:hint="eastAsia" w:ascii="仿宋_GB2312" w:hAnsi="仿宋_GB2312" w:eastAsia="仿宋_GB2312" w:cs="仿宋_GB2312"/>
          <w:bCs/>
          <w:color w:val="auto"/>
          <w:sz w:val="32"/>
          <w:szCs w:val="32"/>
          <w:highlight w:val="none"/>
        </w:rPr>
        <w:t>为T时段中长期合约电价。</w:t>
      </w:r>
    </w:p>
    <w:p>
      <w:pPr>
        <w:pStyle w:val="67"/>
        <w:keepNext w:val="0"/>
        <w:keepLines w:val="0"/>
        <w:pageBreakBefore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outlineLvl w:val="2"/>
        <w:rPr>
          <w:rFonts w:hint="eastAsia" w:ascii="仿宋_GB2312" w:hAnsi="仿宋_GB2312" w:eastAsia="仿宋_GB2312" w:cs="仿宋_GB2312"/>
          <w:color w:val="auto"/>
          <w:sz w:val="32"/>
          <w:szCs w:val="32"/>
          <w:highlight w:val="none"/>
          <w:lang w:val="zh-CN"/>
        </w:rPr>
      </w:pPr>
      <w:bookmarkStart w:id="111" w:name="_Toc1318"/>
      <w:bookmarkStart w:id="112" w:name="_Toc273"/>
      <w:r>
        <w:rPr>
          <w:rFonts w:hint="eastAsia" w:ascii="仿宋_GB2312" w:hAnsi="仿宋_GB2312" w:eastAsia="仿宋_GB2312" w:cs="仿宋_GB2312"/>
          <w:color w:val="auto"/>
          <w:sz w:val="32"/>
          <w:szCs w:val="32"/>
          <w:highlight w:val="none"/>
          <w:lang w:val="zh-CN"/>
        </w:rPr>
        <w:t>日前市场偏差结算</w:t>
      </w:r>
      <w:bookmarkEnd w:id="111"/>
      <w:bookmarkEnd w:id="112"/>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市场起步初期，日前市场出清采用发电侧单边报价模式，根据用户侧日前市场申报的分时电量与中长期合约电量之间的差额，以日前市场统一结算点电价计算日前偏差电费。公式为</w:t>
      </w:r>
      <w:r>
        <w:rPr>
          <w:rFonts w:hint="eastAsia" w:ascii="仿宋_GB2312" w:hAnsi="仿宋_GB2312" w:eastAsia="仿宋_GB2312" w:cs="仿宋_GB2312"/>
          <w:bCs/>
          <w:color w:val="auto"/>
          <w:sz w:val="32"/>
          <w:szCs w:val="32"/>
          <w:highlight w:val="none"/>
          <w:lang w:eastAsia="zh-CN"/>
        </w:rPr>
        <w:t>：</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C</w:t>
      </w:r>
      <w:r>
        <w:rPr>
          <w:rFonts w:hint="eastAsia" w:ascii="仿宋_GB2312" w:hAnsi="仿宋_GB2312" w:eastAsia="仿宋_GB2312" w:cs="仿宋_GB2312"/>
          <w:bCs/>
          <w:color w:val="auto"/>
          <w:sz w:val="32"/>
          <w:szCs w:val="32"/>
          <w:highlight w:val="none"/>
          <w:vertAlign w:val="subscript"/>
        </w:rPr>
        <w:t>日前</w:t>
      </w:r>
      <w:r>
        <w:rPr>
          <w:rFonts w:hint="eastAsia" w:ascii="仿宋_GB2312" w:hAnsi="仿宋_GB2312" w:eastAsia="仿宋_GB2312" w:cs="仿宋_GB2312"/>
          <w:bCs/>
          <w:color w:val="auto"/>
          <w:sz w:val="32"/>
          <w:szCs w:val="32"/>
          <w:highlight w:val="none"/>
        </w:rPr>
        <w:t>=Σ[(Q</w:t>
      </w:r>
      <w:r>
        <w:rPr>
          <w:rFonts w:hint="eastAsia" w:ascii="仿宋_GB2312" w:hAnsi="仿宋_GB2312" w:eastAsia="仿宋_GB2312" w:cs="仿宋_GB2312"/>
          <w:bCs/>
          <w:color w:val="auto"/>
          <w:sz w:val="32"/>
          <w:szCs w:val="32"/>
          <w:highlight w:val="none"/>
          <w:vertAlign w:val="subscript"/>
        </w:rPr>
        <w:t>日前,t</w:t>
      </w:r>
      <w:r>
        <w:rPr>
          <w:rFonts w:hint="eastAsia" w:ascii="仿宋_GB2312" w:hAnsi="仿宋_GB2312" w:eastAsia="仿宋_GB2312" w:cs="仿宋_GB2312"/>
          <w:bCs/>
          <w:color w:val="auto"/>
          <w:sz w:val="32"/>
          <w:szCs w:val="32"/>
          <w:highlight w:val="none"/>
        </w:rPr>
        <w:t>－ΣQ</w:t>
      </w:r>
      <w:r>
        <w:rPr>
          <w:rFonts w:hint="eastAsia" w:ascii="仿宋_GB2312" w:hAnsi="仿宋_GB2312" w:eastAsia="仿宋_GB2312" w:cs="仿宋_GB2312"/>
          <w:bCs/>
          <w:color w:val="auto"/>
          <w:sz w:val="32"/>
          <w:szCs w:val="32"/>
          <w:highlight w:val="none"/>
          <w:vertAlign w:val="subscript"/>
        </w:rPr>
        <w:t>中长期合约,t</w:t>
      </w:r>
      <w:r>
        <w:rPr>
          <w:rFonts w:hint="eastAsia" w:ascii="仿宋_GB2312" w:hAnsi="仿宋_GB2312" w:eastAsia="仿宋_GB2312" w:cs="仿宋_GB2312"/>
          <w:bCs/>
          <w:color w:val="auto"/>
          <w:sz w:val="32"/>
          <w:szCs w:val="32"/>
          <w:highlight w:val="none"/>
          <w:lang w:val="en-US" w:eastAsia="zh-CN"/>
        </w:rPr>
        <w:t>)</w:t>
      </w: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bCs/>
          <w:color w:val="auto"/>
          <w:sz w:val="32"/>
          <w:szCs w:val="32"/>
          <w:highlight w:val="none"/>
          <w:vertAlign w:val="subscript"/>
        </w:rPr>
        <w:t>日前统一,t</w:t>
      </w:r>
      <w:r>
        <w:rPr>
          <w:rFonts w:hint="eastAsia" w:ascii="仿宋_GB2312" w:hAnsi="仿宋_GB2312" w:eastAsia="仿宋_GB2312" w:cs="仿宋_GB2312"/>
          <w:bCs/>
          <w:color w:val="auto"/>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其中：</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C</w:t>
      </w:r>
      <w:r>
        <w:rPr>
          <w:rFonts w:hint="eastAsia" w:ascii="仿宋_GB2312" w:hAnsi="仿宋_GB2312" w:eastAsia="仿宋_GB2312" w:cs="仿宋_GB2312"/>
          <w:bCs/>
          <w:color w:val="auto"/>
          <w:sz w:val="32"/>
          <w:szCs w:val="32"/>
          <w:highlight w:val="none"/>
          <w:vertAlign w:val="subscript"/>
        </w:rPr>
        <w:t>日前</w:t>
      </w:r>
      <w:r>
        <w:rPr>
          <w:rFonts w:hint="eastAsia" w:ascii="仿宋_GB2312" w:hAnsi="仿宋_GB2312" w:eastAsia="仿宋_GB2312" w:cs="仿宋_GB2312"/>
          <w:bCs/>
          <w:color w:val="auto"/>
          <w:sz w:val="32"/>
          <w:szCs w:val="32"/>
          <w:highlight w:val="none"/>
        </w:rPr>
        <w:t>为用户日前市场偏差</w:t>
      </w:r>
      <w:r>
        <w:rPr>
          <w:rFonts w:hint="eastAsia" w:ascii="仿宋_GB2312" w:hAnsi="仿宋_GB2312" w:eastAsia="仿宋_GB2312" w:cs="仿宋_GB2312"/>
          <w:b w:val="0"/>
          <w:bCs w:val="0"/>
          <w:color w:val="auto"/>
          <w:kern w:val="2"/>
          <w:sz w:val="32"/>
          <w:szCs w:val="32"/>
          <w:highlight w:val="none"/>
          <w:lang w:val="zh-CN"/>
        </w:rPr>
        <w:t>电能量</w:t>
      </w:r>
      <w:r>
        <w:rPr>
          <w:rFonts w:hint="eastAsia" w:ascii="仿宋_GB2312" w:hAnsi="仿宋_GB2312" w:eastAsia="仿宋_GB2312" w:cs="仿宋_GB2312"/>
          <w:bCs/>
          <w:color w:val="auto"/>
          <w:sz w:val="32"/>
          <w:szCs w:val="32"/>
          <w:highlight w:val="none"/>
        </w:rPr>
        <w:t>电费支出；</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bCs/>
          <w:color w:val="auto"/>
          <w:sz w:val="32"/>
          <w:szCs w:val="32"/>
          <w:highlight w:val="none"/>
          <w:vertAlign w:val="subscript"/>
        </w:rPr>
        <w:t>日前,t</w:t>
      </w:r>
      <w:r>
        <w:rPr>
          <w:rFonts w:hint="eastAsia" w:ascii="仿宋_GB2312" w:hAnsi="仿宋_GB2312" w:eastAsia="仿宋_GB2312" w:cs="仿宋_GB2312"/>
          <w:bCs/>
          <w:color w:val="auto"/>
          <w:sz w:val="32"/>
          <w:szCs w:val="32"/>
          <w:highlight w:val="none"/>
        </w:rPr>
        <w:t>为</w:t>
      </w:r>
      <w:bookmarkStart w:id="113" w:name="OLE_LINK1"/>
      <w:r>
        <w:rPr>
          <w:rFonts w:hint="eastAsia" w:ascii="仿宋_GB2312" w:hAnsi="仿宋_GB2312" w:eastAsia="仿宋_GB2312" w:cs="仿宋_GB2312"/>
          <w:bCs/>
          <w:color w:val="auto"/>
          <w:sz w:val="32"/>
          <w:szCs w:val="32"/>
          <w:highlight w:val="none"/>
        </w:rPr>
        <w:t>用户日前市场所申报的T时段需求电量,已扣减该时段需求侧响应中标容量折算的电量；</w:t>
      </w:r>
    </w:p>
    <w:bookmarkEnd w:id="113"/>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bCs/>
          <w:color w:val="auto"/>
          <w:sz w:val="32"/>
          <w:szCs w:val="32"/>
          <w:highlight w:val="none"/>
          <w:vertAlign w:val="subscript"/>
        </w:rPr>
        <w:t>中长期合约,t</w:t>
      </w:r>
      <w:r>
        <w:rPr>
          <w:rFonts w:hint="eastAsia" w:ascii="仿宋_GB2312" w:hAnsi="仿宋_GB2312" w:eastAsia="仿宋_GB2312" w:cs="仿宋_GB2312"/>
          <w:bCs/>
          <w:color w:val="auto"/>
          <w:sz w:val="32"/>
          <w:szCs w:val="32"/>
          <w:highlight w:val="none"/>
        </w:rPr>
        <w:t>为T时段中长期合约电量，包括省间中长期合约、省内中长期合约；</w:t>
      </w:r>
    </w:p>
    <w:p>
      <w:pPr>
        <w:keepNext w:val="0"/>
        <w:keepLines w:val="0"/>
        <w:pageBreakBefore w:val="0"/>
        <w:widowControl/>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bCs/>
          <w:color w:val="auto"/>
          <w:sz w:val="32"/>
          <w:szCs w:val="32"/>
          <w:highlight w:val="none"/>
          <w:vertAlign w:val="subscript"/>
        </w:rPr>
        <w:t>日前统一,t</w:t>
      </w:r>
      <w:r>
        <w:rPr>
          <w:rFonts w:hint="eastAsia" w:ascii="仿宋_GB2312" w:hAnsi="仿宋_GB2312" w:eastAsia="仿宋_GB2312" w:cs="仿宋_GB2312"/>
          <w:bCs/>
          <w:color w:val="auto"/>
          <w:sz w:val="32"/>
          <w:szCs w:val="32"/>
          <w:highlight w:val="none"/>
        </w:rPr>
        <w:t>为日前市场T时段统一结算点电价。</w:t>
      </w:r>
    </w:p>
    <w:p>
      <w:pPr>
        <w:pStyle w:val="67"/>
        <w:keepNext w:val="0"/>
        <w:keepLines w:val="0"/>
        <w:pageBreakBefore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outlineLvl w:val="2"/>
        <w:rPr>
          <w:rFonts w:hint="eastAsia" w:ascii="仿宋_GB2312" w:hAnsi="仿宋_GB2312" w:eastAsia="仿宋_GB2312" w:cs="仿宋_GB2312"/>
          <w:color w:val="auto"/>
          <w:sz w:val="32"/>
          <w:szCs w:val="32"/>
          <w:highlight w:val="none"/>
          <w:lang w:val="zh-CN"/>
        </w:rPr>
      </w:pPr>
      <w:bookmarkStart w:id="114" w:name="_Toc16598"/>
      <w:bookmarkStart w:id="115" w:name="_Toc6215"/>
      <w:r>
        <w:rPr>
          <w:rFonts w:hint="eastAsia" w:ascii="仿宋_GB2312" w:hAnsi="仿宋_GB2312" w:eastAsia="仿宋_GB2312" w:cs="仿宋_GB2312"/>
          <w:color w:val="auto"/>
          <w:sz w:val="32"/>
          <w:szCs w:val="32"/>
          <w:highlight w:val="none"/>
          <w:lang w:val="zh-CN"/>
        </w:rPr>
        <w:t>实时市场偏差结算</w:t>
      </w:r>
      <w:bookmarkEnd w:id="114"/>
      <w:bookmarkEnd w:id="115"/>
    </w:p>
    <w:p>
      <w:pPr>
        <w:keepNext w:val="0"/>
        <w:keepLines w:val="0"/>
        <w:pageBreakBefore w:val="0"/>
        <w:widowControl/>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根据用户侧实际分时用电量与日前市场申报的分时电量之间的差额，以实时市场统一结算点电价计算偏差电费。公式为：</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C</w:t>
      </w:r>
      <w:r>
        <w:rPr>
          <w:rFonts w:hint="eastAsia" w:ascii="仿宋_GB2312" w:hAnsi="仿宋_GB2312" w:eastAsia="仿宋_GB2312" w:cs="仿宋_GB2312"/>
          <w:bCs/>
          <w:color w:val="auto"/>
          <w:sz w:val="32"/>
          <w:szCs w:val="32"/>
          <w:highlight w:val="none"/>
          <w:vertAlign w:val="subscript"/>
        </w:rPr>
        <w:t>实时</w:t>
      </w:r>
      <w:r>
        <w:rPr>
          <w:rFonts w:hint="eastAsia" w:ascii="仿宋_GB2312" w:hAnsi="仿宋_GB2312" w:eastAsia="仿宋_GB2312" w:cs="仿宋_GB2312"/>
          <w:bCs/>
          <w:color w:val="auto"/>
          <w:sz w:val="32"/>
          <w:szCs w:val="32"/>
          <w:highlight w:val="none"/>
        </w:rPr>
        <w:t>=Σ[(Q</w:t>
      </w:r>
      <w:r>
        <w:rPr>
          <w:rFonts w:hint="eastAsia" w:ascii="仿宋_GB2312" w:hAnsi="仿宋_GB2312" w:eastAsia="仿宋_GB2312" w:cs="仿宋_GB2312"/>
          <w:bCs/>
          <w:color w:val="auto"/>
          <w:sz w:val="32"/>
          <w:szCs w:val="32"/>
          <w:highlight w:val="none"/>
          <w:vertAlign w:val="subscript"/>
        </w:rPr>
        <w:t>实时,t</w:t>
      </w: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bCs/>
          <w:color w:val="auto"/>
          <w:sz w:val="32"/>
          <w:szCs w:val="32"/>
          <w:highlight w:val="none"/>
          <w:vertAlign w:val="subscript"/>
        </w:rPr>
        <w:t>日前,t</w:t>
      </w: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bCs/>
          <w:color w:val="auto"/>
          <w:sz w:val="32"/>
          <w:szCs w:val="32"/>
          <w:highlight w:val="none"/>
          <w:vertAlign w:val="subscript"/>
        </w:rPr>
        <w:t>实时统一,t</w:t>
      </w:r>
      <w:r>
        <w:rPr>
          <w:rFonts w:hint="eastAsia" w:ascii="仿宋_GB2312" w:hAnsi="仿宋_GB2312" w:eastAsia="仿宋_GB2312" w:cs="仿宋_GB2312"/>
          <w:bCs/>
          <w:color w:val="auto"/>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其中：</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C</w:t>
      </w:r>
      <w:r>
        <w:rPr>
          <w:rFonts w:hint="eastAsia" w:ascii="仿宋_GB2312" w:hAnsi="仿宋_GB2312" w:eastAsia="仿宋_GB2312" w:cs="仿宋_GB2312"/>
          <w:bCs/>
          <w:color w:val="auto"/>
          <w:sz w:val="32"/>
          <w:szCs w:val="32"/>
          <w:highlight w:val="none"/>
          <w:vertAlign w:val="subscript"/>
        </w:rPr>
        <w:t>实时</w:t>
      </w:r>
      <w:r>
        <w:rPr>
          <w:rFonts w:hint="eastAsia" w:ascii="仿宋_GB2312" w:hAnsi="仿宋_GB2312" w:eastAsia="仿宋_GB2312" w:cs="仿宋_GB2312"/>
          <w:bCs/>
          <w:color w:val="auto"/>
          <w:sz w:val="32"/>
          <w:szCs w:val="32"/>
          <w:highlight w:val="none"/>
        </w:rPr>
        <w:t>为用户实时市场偏差</w:t>
      </w:r>
      <w:r>
        <w:rPr>
          <w:rFonts w:hint="eastAsia" w:ascii="仿宋_GB2312" w:hAnsi="仿宋_GB2312" w:eastAsia="仿宋_GB2312" w:cs="仿宋_GB2312"/>
          <w:b w:val="0"/>
          <w:bCs w:val="0"/>
          <w:color w:val="auto"/>
          <w:kern w:val="2"/>
          <w:sz w:val="32"/>
          <w:szCs w:val="32"/>
          <w:highlight w:val="none"/>
          <w:lang w:val="zh-CN"/>
        </w:rPr>
        <w:t>电能量</w:t>
      </w:r>
      <w:r>
        <w:rPr>
          <w:rFonts w:hint="eastAsia" w:ascii="仿宋_GB2312" w:hAnsi="仿宋_GB2312" w:eastAsia="仿宋_GB2312" w:cs="仿宋_GB2312"/>
          <w:bCs/>
          <w:color w:val="auto"/>
          <w:sz w:val="32"/>
          <w:szCs w:val="32"/>
          <w:highlight w:val="none"/>
        </w:rPr>
        <w:t>电费支出；</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bCs/>
          <w:color w:val="auto"/>
          <w:sz w:val="32"/>
          <w:szCs w:val="32"/>
          <w:highlight w:val="none"/>
          <w:vertAlign w:val="subscript"/>
        </w:rPr>
        <w:t>实时,t</w:t>
      </w:r>
      <w:r>
        <w:rPr>
          <w:rFonts w:hint="eastAsia" w:ascii="仿宋_GB2312" w:hAnsi="仿宋_GB2312" w:eastAsia="仿宋_GB2312" w:cs="仿宋_GB2312"/>
          <w:bCs/>
          <w:color w:val="auto"/>
          <w:sz w:val="32"/>
          <w:szCs w:val="32"/>
          <w:highlight w:val="none"/>
        </w:rPr>
        <w:t>为用户实时市场T时段实际用电量；</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bCs/>
          <w:color w:val="auto"/>
          <w:sz w:val="32"/>
          <w:szCs w:val="32"/>
          <w:highlight w:val="none"/>
          <w:vertAlign w:val="subscript"/>
        </w:rPr>
        <w:t>日前,t</w:t>
      </w:r>
      <w:r>
        <w:rPr>
          <w:rFonts w:hint="eastAsia" w:ascii="仿宋_GB2312" w:hAnsi="仿宋_GB2312" w:eastAsia="仿宋_GB2312" w:cs="仿宋_GB2312"/>
          <w:bCs/>
          <w:color w:val="auto"/>
          <w:sz w:val="32"/>
          <w:szCs w:val="32"/>
          <w:highlight w:val="none"/>
        </w:rPr>
        <w:t>为用户日前市场所申报的T时段需求电量,已扣减该时段需求侧响应中标容量折算的电量；</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bCs/>
          <w:color w:val="auto"/>
          <w:sz w:val="32"/>
          <w:szCs w:val="32"/>
          <w:highlight w:val="none"/>
          <w:vertAlign w:val="subscript"/>
        </w:rPr>
        <w:t>实时统一,t</w:t>
      </w:r>
      <w:r>
        <w:rPr>
          <w:rFonts w:hint="eastAsia" w:ascii="仿宋_GB2312" w:hAnsi="仿宋_GB2312" w:eastAsia="仿宋_GB2312" w:cs="仿宋_GB2312"/>
          <w:bCs/>
          <w:color w:val="auto"/>
          <w:sz w:val="32"/>
          <w:szCs w:val="32"/>
          <w:highlight w:val="none"/>
        </w:rPr>
        <w:t>为实时市场T时段统一结算点电价。</w:t>
      </w:r>
    </w:p>
    <w:p>
      <w:pPr>
        <w:pStyle w:val="66"/>
        <w:keepNext w:val="0"/>
        <w:keepLines w:val="0"/>
        <w:pageBreakBefore w:val="0"/>
        <w:numPr>
          <w:ilvl w:val="1"/>
          <w:numId w:val="0"/>
        </w:numPr>
        <w:kinsoku/>
        <w:wordWrap/>
        <w:overflowPunct/>
        <w:topLinePunct w:val="0"/>
        <w:autoSpaceDE/>
        <w:autoSpaceDN/>
        <w:bidi w:val="0"/>
        <w:adjustRightInd/>
        <w:snapToGrid/>
        <w:spacing w:line="560" w:lineRule="exact"/>
        <w:ind w:firstLine="640" w:firstLineChars="200"/>
        <w:textAlignment w:val="auto"/>
        <w:outlineLvl w:val="1"/>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5.1.4</w:t>
      </w:r>
      <w:r>
        <w:rPr>
          <w:rFonts w:hint="eastAsia" w:ascii="仿宋_GB2312" w:hAnsi="仿宋_GB2312" w:eastAsia="仿宋_GB2312" w:cs="仿宋_GB2312"/>
          <w:b w:val="0"/>
          <w:bCs w:val="0"/>
          <w:color w:val="auto"/>
          <w:sz w:val="32"/>
          <w:szCs w:val="32"/>
          <w:highlight w:val="none"/>
          <w:lang w:eastAsia="zh-CN"/>
        </w:rPr>
        <w:t>电力用户</w:t>
      </w:r>
      <w:r>
        <w:rPr>
          <w:rFonts w:hint="eastAsia" w:ascii="仿宋_GB2312" w:hAnsi="仿宋_GB2312" w:eastAsia="仿宋_GB2312" w:cs="仿宋_GB2312"/>
          <w:b w:val="0"/>
          <w:bCs w:val="0"/>
          <w:color w:val="auto"/>
          <w:sz w:val="32"/>
          <w:szCs w:val="32"/>
          <w:highlight w:val="none"/>
        </w:rPr>
        <w:t>峰谷</w:t>
      </w:r>
      <w:r>
        <w:rPr>
          <w:rFonts w:hint="eastAsia" w:ascii="仿宋_GB2312" w:hAnsi="仿宋_GB2312" w:eastAsia="仿宋_GB2312" w:cs="仿宋_GB2312"/>
          <w:b w:val="0"/>
          <w:bCs w:val="0"/>
          <w:color w:val="auto"/>
          <w:sz w:val="32"/>
          <w:szCs w:val="32"/>
          <w:highlight w:val="none"/>
          <w:lang w:eastAsia="zh-CN"/>
        </w:rPr>
        <w:t>浮动电费结算</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lang w:eastAsia="zh-CN"/>
        </w:rPr>
        <w:t>电力用户的峰谷浮动电费按照峰谷时段</w:t>
      </w:r>
      <w:r>
        <w:rPr>
          <w:rFonts w:hint="eastAsia" w:ascii="仿宋_GB2312" w:hAnsi="仿宋_GB2312" w:eastAsia="仿宋_GB2312" w:cs="仿宋_GB2312"/>
          <w:bCs/>
          <w:color w:val="auto"/>
          <w:sz w:val="32"/>
          <w:szCs w:val="32"/>
          <w:highlight w:val="none"/>
          <w:lang w:val="en-US" w:eastAsia="zh-CN"/>
        </w:rPr>
        <w:t>电量</w:t>
      </w:r>
      <w:r>
        <w:rPr>
          <w:rFonts w:hint="eastAsia" w:ascii="仿宋_GB2312" w:hAnsi="仿宋_GB2312" w:eastAsia="仿宋_GB2312" w:cs="仿宋_GB2312"/>
          <w:bCs/>
          <w:color w:val="auto"/>
          <w:sz w:val="32"/>
          <w:szCs w:val="32"/>
          <w:highlight w:val="none"/>
          <w:lang w:eastAsia="zh-CN"/>
        </w:rPr>
        <w:t>与峰谷浮动价格开展峰谷浮动电费结算；基于峰谷浮动基准价</w:t>
      </w:r>
      <w:r>
        <w:rPr>
          <w:rFonts w:hint="eastAsia" w:ascii="仿宋_GB2312" w:hAnsi="仿宋_GB2312" w:eastAsia="仿宋_GB2312" w:cs="仿宋_GB2312"/>
          <w:bCs/>
          <w:color w:val="auto"/>
          <w:sz w:val="32"/>
          <w:szCs w:val="32"/>
          <w:highlight w:val="none"/>
        </w:rPr>
        <w:t>，高峰时段电量收取</w:t>
      </w:r>
      <w:r>
        <w:rPr>
          <w:rFonts w:hint="eastAsia" w:ascii="仿宋_GB2312" w:hAnsi="仿宋_GB2312" w:eastAsia="仿宋_GB2312" w:cs="仿宋_GB2312"/>
          <w:bCs/>
          <w:color w:val="auto"/>
          <w:sz w:val="32"/>
          <w:szCs w:val="32"/>
          <w:highlight w:val="none"/>
          <w:lang w:eastAsia="zh-CN"/>
        </w:rPr>
        <w:t>峰谷浮动基准价</w:t>
      </w:r>
      <w:r>
        <w:rPr>
          <w:rFonts w:hint="eastAsia" w:ascii="仿宋_GB2312" w:hAnsi="仿宋_GB2312" w:eastAsia="仿宋_GB2312" w:cs="仿宋_GB2312"/>
          <w:bCs/>
          <w:color w:val="auto"/>
          <w:sz w:val="32"/>
          <w:szCs w:val="32"/>
          <w:highlight w:val="none"/>
        </w:rPr>
        <w:t>的f1倍，谷时段电量补偿</w:t>
      </w:r>
      <w:r>
        <w:rPr>
          <w:rFonts w:hint="eastAsia" w:ascii="仿宋_GB2312" w:hAnsi="仿宋_GB2312" w:eastAsia="仿宋_GB2312" w:cs="仿宋_GB2312"/>
          <w:bCs/>
          <w:color w:val="auto"/>
          <w:sz w:val="32"/>
          <w:szCs w:val="32"/>
          <w:highlight w:val="none"/>
          <w:lang w:eastAsia="zh-CN"/>
        </w:rPr>
        <w:t>峰谷浮动基准价</w:t>
      </w:r>
      <w:r>
        <w:rPr>
          <w:rFonts w:hint="eastAsia" w:ascii="仿宋_GB2312" w:hAnsi="仿宋_GB2312" w:eastAsia="仿宋_GB2312" w:cs="仿宋_GB2312"/>
          <w:bCs/>
          <w:color w:val="auto"/>
          <w:sz w:val="32"/>
          <w:szCs w:val="32"/>
          <w:highlight w:val="none"/>
        </w:rPr>
        <w:t>的f2倍，尖峰时段电量收取</w:t>
      </w:r>
      <w:r>
        <w:rPr>
          <w:rFonts w:hint="eastAsia" w:ascii="仿宋_GB2312" w:hAnsi="仿宋_GB2312" w:eastAsia="仿宋_GB2312" w:cs="仿宋_GB2312"/>
          <w:bCs/>
          <w:color w:val="auto"/>
          <w:sz w:val="32"/>
          <w:szCs w:val="32"/>
          <w:highlight w:val="none"/>
          <w:lang w:eastAsia="zh-CN"/>
        </w:rPr>
        <w:t>峰谷浮动基准价</w:t>
      </w:r>
      <w:r>
        <w:rPr>
          <w:rFonts w:hint="eastAsia" w:ascii="仿宋_GB2312" w:hAnsi="仿宋_GB2312" w:eastAsia="仿宋_GB2312" w:cs="仿宋_GB2312"/>
          <w:bCs/>
          <w:color w:val="auto"/>
          <w:sz w:val="32"/>
          <w:szCs w:val="32"/>
          <w:highlight w:val="none"/>
        </w:rPr>
        <w:t>的</w:t>
      </w:r>
      <w:r>
        <w:rPr>
          <w:rFonts w:hint="eastAsia" w:ascii="仿宋_GB2312" w:hAnsi="仿宋_GB2312" w:eastAsia="仿宋_GB2312" w:cs="仿宋_GB2312"/>
          <w:bCs/>
          <w:color w:val="auto"/>
          <w:sz w:val="32"/>
          <w:szCs w:val="32"/>
          <w:highlight w:val="none"/>
          <w:lang w:val="en-US" w:eastAsia="zh-CN"/>
        </w:rPr>
        <w:t>[(</w:t>
      </w:r>
      <w:r>
        <w:rPr>
          <w:rFonts w:hint="eastAsia" w:ascii="仿宋_GB2312" w:hAnsi="仿宋_GB2312" w:eastAsia="仿宋_GB2312" w:cs="仿宋_GB2312"/>
          <w:bCs/>
          <w:color w:val="auto"/>
          <w:sz w:val="32"/>
          <w:szCs w:val="32"/>
          <w:highlight w:val="none"/>
        </w:rPr>
        <w:t>f1</w:t>
      </w:r>
      <w:r>
        <w:rPr>
          <w:rFonts w:hint="eastAsia" w:ascii="仿宋_GB2312" w:hAnsi="仿宋_GB2312" w:eastAsia="仿宋_GB2312" w:cs="仿宋_GB2312"/>
          <w:bCs/>
          <w:color w:val="auto"/>
          <w:sz w:val="32"/>
          <w:szCs w:val="32"/>
          <w:highlight w:val="none"/>
          <w:lang w:val="en-US" w:eastAsia="zh-CN"/>
        </w:rPr>
        <w:t>+1)</w:t>
      </w:r>
      <w:r>
        <w:rPr>
          <w:rFonts w:hint="eastAsia" w:ascii="仿宋_GB2312" w:hAnsi="仿宋_GB2312" w:eastAsia="仿宋_GB2312" w:cs="仿宋_GB2312"/>
          <w:bCs/>
          <w:color w:val="auto"/>
          <w:sz w:val="32"/>
          <w:szCs w:val="32"/>
          <w:highlight w:val="none"/>
        </w:rPr>
        <w:t>×</w:t>
      </w:r>
      <w:r>
        <w:rPr>
          <w:rFonts w:hint="eastAsia" w:ascii="仿宋_GB2312" w:hAnsi="仿宋_GB2312" w:eastAsia="仿宋_GB2312" w:cs="仿宋_GB2312"/>
          <w:bCs/>
          <w:color w:val="auto"/>
          <w:sz w:val="32"/>
          <w:szCs w:val="32"/>
          <w:highlight w:val="none"/>
          <w:lang w:val="en-US" w:eastAsia="zh-CN"/>
        </w:rPr>
        <w:t>(</w:t>
      </w:r>
      <w:r>
        <w:rPr>
          <w:rFonts w:hint="eastAsia" w:ascii="仿宋_GB2312" w:hAnsi="仿宋_GB2312" w:eastAsia="仿宋_GB2312" w:cs="仿宋_GB2312"/>
          <w:bCs/>
          <w:color w:val="auto"/>
          <w:sz w:val="32"/>
          <w:szCs w:val="32"/>
          <w:highlight w:val="none"/>
        </w:rPr>
        <w:t>1+f3</w:t>
      </w:r>
      <w:r>
        <w:rPr>
          <w:rFonts w:hint="eastAsia" w:ascii="仿宋_GB2312" w:hAnsi="仿宋_GB2312" w:eastAsia="仿宋_GB2312" w:cs="仿宋_GB2312"/>
          <w:bCs/>
          <w:color w:val="auto"/>
          <w:sz w:val="32"/>
          <w:szCs w:val="32"/>
          <w:highlight w:val="none"/>
          <w:lang w:val="en-US" w:eastAsia="zh-CN"/>
        </w:rPr>
        <w:t>)</w:t>
      </w:r>
      <w:r>
        <w:rPr>
          <w:rFonts w:hint="eastAsia" w:ascii="仿宋_GB2312" w:hAnsi="仿宋_GB2312" w:eastAsia="仿宋_GB2312" w:cs="仿宋_GB2312"/>
          <w:bCs/>
          <w:color w:val="auto"/>
          <w:sz w:val="32"/>
          <w:szCs w:val="32"/>
          <w:highlight w:val="none"/>
        </w:rPr>
        <w:t>-1</w:t>
      </w:r>
      <w:r>
        <w:rPr>
          <w:rFonts w:hint="eastAsia" w:ascii="仿宋_GB2312" w:hAnsi="仿宋_GB2312" w:eastAsia="仿宋_GB2312" w:cs="仿宋_GB2312"/>
          <w:bCs/>
          <w:color w:val="auto"/>
          <w:sz w:val="32"/>
          <w:szCs w:val="32"/>
          <w:highlight w:val="none"/>
          <w:lang w:val="en-US" w:eastAsia="zh-CN"/>
        </w:rPr>
        <w:t>]</w:t>
      </w:r>
      <w:r>
        <w:rPr>
          <w:rFonts w:hint="eastAsia" w:ascii="仿宋_GB2312" w:hAnsi="仿宋_GB2312" w:eastAsia="仿宋_GB2312" w:cs="仿宋_GB2312"/>
          <w:bCs/>
          <w:color w:val="auto"/>
          <w:sz w:val="32"/>
          <w:szCs w:val="32"/>
          <w:highlight w:val="none"/>
        </w:rPr>
        <w:t>倍。</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lang w:eastAsia="zh-CN"/>
        </w:rPr>
      </w:pPr>
      <w:r>
        <w:rPr>
          <w:rFonts w:hint="eastAsia" w:ascii="仿宋_GB2312" w:hAnsi="仿宋_GB2312" w:eastAsia="仿宋_GB2312" w:cs="仿宋_GB2312"/>
          <w:bCs/>
          <w:color w:val="auto"/>
          <w:sz w:val="32"/>
          <w:szCs w:val="32"/>
          <w:highlight w:val="none"/>
          <w:lang w:eastAsia="zh-CN"/>
        </w:rPr>
        <w:t>电力用户</w:t>
      </w:r>
      <w:r>
        <w:rPr>
          <w:rFonts w:hint="eastAsia" w:ascii="仿宋_GB2312" w:hAnsi="仿宋_GB2312" w:eastAsia="仿宋_GB2312" w:cs="仿宋_GB2312"/>
          <w:bCs/>
          <w:color w:val="auto"/>
          <w:sz w:val="32"/>
          <w:szCs w:val="32"/>
          <w:highlight w:val="none"/>
        </w:rPr>
        <w:t>的峰谷浮动电费的归集等参照价格主管部门相关文件的规定执行。</w:t>
      </w:r>
      <w:r>
        <w:rPr>
          <w:rFonts w:hint="eastAsia" w:ascii="仿宋_GB2312" w:hAnsi="仿宋_GB2312" w:eastAsia="仿宋_GB2312" w:cs="仿宋_GB2312"/>
          <w:bCs/>
          <w:color w:val="auto"/>
          <w:sz w:val="32"/>
          <w:szCs w:val="32"/>
          <w:highlight w:val="none"/>
          <w:lang w:eastAsia="zh-CN"/>
        </w:rPr>
        <w:t>计算公式如下：</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C</w:t>
      </w:r>
      <w:r>
        <w:rPr>
          <w:rFonts w:hint="eastAsia" w:ascii="仿宋_GB2312" w:hAnsi="仿宋_GB2312" w:eastAsia="仿宋_GB2312" w:cs="仿宋_GB2312"/>
          <w:bCs/>
          <w:color w:val="auto"/>
          <w:sz w:val="32"/>
          <w:szCs w:val="32"/>
          <w:highlight w:val="none"/>
          <w:vertAlign w:val="subscript"/>
          <w:lang w:val="en-US" w:eastAsia="zh-CN"/>
        </w:rPr>
        <w:t>峰谷电费</w:t>
      </w:r>
      <w:r>
        <w:rPr>
          <w:rFonts w:hint="eastAsia" w:ascii="仿宋_GB2312" w:hAnsi="仿宋_GB2312" w:eastAsia="仿宋_GB2312" w:cs="仿宋_GB2312"/>
          <w:bCs/>
          <w:color w:val="auto"/>
          <w:sz w:val="32"/>
          <w:szCs w:val="32"/>
          <w:highlight w:val="none"/>
          <w:lang w:val="en-US" w:eastAsia="zh-CN"/>
        </w:rPr>
        <w:t>=Q</w:t>
      </w:r>
      <w:r>
        <w:rPr>
          <w:rFonts w:hint="eastAsia" w:ascii="仿宋_GB2312" w:hAnsi="仿宋_GB2312" w:eastAsia="仿宋_GB2312" w:cs="仿宋_GB2312"/>
          <w:bCs/>
          <w:color w:val="auto"/>
          <w:sz w:val="32"/>
          <w:szCs w:val="32"/>
          <w:highlight w:val="none"/>
          <w:vertAlign w:val="subscript"/>
          <w:lang w:val="en-US" w:eastAsia="zh-CN"/>
        </w:rPr>
        <w:t>尖峰</w:t>
      </w:r>
      <w:r>
        <w:rPr>
          <w:rFonts w:hint="eastAsia" w:ascii="仿宋_GB2312" w:hAnsi="仿宋_GB2312" w:eastAsia="仿宋_GB2312" w:cs="仿宋_GB2312"/>
          <w:bCs/>
          <w:color w:val="auto"/>
          <w:sz w:val="32"/>
          <w:szCs w:val="32"/>
          <w:highlight w:val="none"/>
          <w:lang w:val="en-US" w:eastAsia="zh-CN"/>
        </w:rPr>
        <w:t>×P</w:t>
      </w:r>
      <w:r>
        <w:rPr>
          <w:rFonts w:hint="eastAsia" w:ascii="仿宋_GB2312" w:hAnsi="仿宋_GB2312" w:eastAsia="仿宋_GB2312" w:cs="仿宋_GB2312"/>
          <w:bCs/>
          <w:color w:val="auto"/>
          <w:sz w:val="32"/>
          <w:szCs w:val="32"/>
          <w:highlight w:val="none"/>
          <w:vertAlign w:val="subscript"/>
          <w:lang w:val="en-US" w:eastAsia="zh-CN"/>
        </w:rPr>
        <w:t>峰谷浮动基准价</w:t>
      </w:r>
      <w:r>
        <w:rPr>
          <w:rFonts w:hint="eastAsia" w:ascii="仿宋_GB2312" w:hAnsi="仿宋_GB2312" w:eastAsia="仿宋_GB2312" w:cs="仿宋_GB2312"/>
          <w:bCs/>
          <w:color w:val="auto"/>
          <w:sz w:val="32"/>
          <w:szCs w:val="32"/>
          <w:highlight w:val="none"/>
          <w:lang w:val="en-US" w:eastAsia="zh-CN"/>
        </w:rPr>
        <w:t>×[(</w:t>
      </w:r>
      <w:r>
        <w:rPr>
          <w:rFonts w:hint="eastAsia" w:ascii="仿宋_GB2312" w:hAnsi="仿宋_GB2312" w:eastAsia="仿宋_GB2312" w:cs="仿宋_GB2312"/>
          <w:bCs/>
          <w:color w:val="auto"/>
          <w:sz w:val="32"/>
          <w:szCs w:val="32"/>
          <w:highlight w:val="none"/>
        </w:rPr>
        <w:t>f1</w:t>
      </w:r>
      <w:r>
        <w:rPr>
          <w:rFonts w:hint="eastAsia" w:ascii="仿宋_GB2312" w:hAnsi="仿宋_GB2312" w:eastAsia="仿宋_GB2312" w:cs="仿宋_GB2312"/>
          <w:bCs/>
          <w:color w:val="auto"/>
          <w:sz w:val="32"/>
          <w:szCs w:val="32"/>
          <w:highlight w:val="none"/>
          <w:lang w:val="en-US" w:eastAsia="zh-CN"/>
        </w:rPr>
        <w:t>+1)</w:t>
      </w:r>
      <w:r>
        <w:rPr>
          <w:rFonts w:hint="eastAsia" w:ascii="仿宋_GB2312" w:hAnsi="仿宋_GB2312" w:eastAsia="仿宋_GB2312" w:cs="仿宋_GB2312"/>
          <w:bCs/>
          <w:color w:val="auto"/>
          <w:sz w:val="32"/>
          <w:szCs w:val="32"/>
          <w:highlight w:val="none"/>
        </w:rPr>
        <w:t>×</w:t>
      </w:r>
      <w:r>
        <w:rPr>
          <w:rFonts w:hint="eastAsia" w:ascii="仿宋_GB2312" w:hAnsi="仿宋_GB2312" w:eastAsia="仿宋_GB2312" w:cs="仿宋_GB2312"/>
          <w:bCs/>
          <w:color w:val="auto"/>
          <w:sz w:val="32"/>
          <w:szCs w:val="32"/>
          <w:highlight w:val="none"/>
          <w:lang w:val="en-US" w:eastAsia="zh-CN"/>
        </w:rPr>
        <w:t>(</w:t>
      </w:r>
      <w:r>
        <w:rPr>
          <w:rFonts w:hint="eastAsia" w:ascii="仿宋_GB2312" w:hAnsi="仿宋_GB2312" w:eastAsia="仿宋_GB2312" w:cs="仿宋_GB2312"/>
          <w:bCs/>
          <w:color w:val="auto"/>
          <w:sz w:val="32"/>
          <w:szCs w:val="32"/>
          <w:highlight w:val="none"/>
        </w:rPr>
        <w:t>1+f3</w:t>
      </w:r>
      <w:r>
        <w:rPr>
          <w:rFonts w:hint="eastAsia" w:ascii="仿宋_GB2312" w:hAnsi="仿宋_GB2312" w:eastAsia="仿宋_GB2312" w:cs="仿宋_GB2312"/>
          <w:bCs/>
          <w:color w:val="auto"/>
          <w:sz w:val="32"/>
          <w:szCs w:val="32"/>
          <w:highlight w:val="none"/>
          <w:lang w:val="en-US" w:eastAsia="zh-CN"/>
        </w:rPr>
        <w:t>)</w:t>
      </w:r>
      <w:r>
        <w:rPr>
          <w:rFonts w:hint="eastAsia" w:ascii="仿宋_GB2312" w:hAnsi="仿宋_GB2312" w:eastAsia="仿宋_GB2312" w:cs="仿宋_GB2312"/>
          <w:bCs/>
          <w:color w:val="auto"/>
          <w:sz w:val="32"/>
          <w:szCs w:val="32"/>
          <w:highlight w:val="none"/>
        </w:rPr>
        <w:t>-1</w:t>
      </w:r>
      <w:r>
        <w:rPr>
          <w:rFonts w:hint="eastAsia" w:ascii="仿宋_GB2312" w:hAnsi="仿宋_GB2312" w:eastAsia="仿宋_GB2312" w:cs="仿宋_GB2312"/>
          <w:bCs/>
          <w:color w:val="auto"/>
          <w:sz w:val="32"/>
          <w:szCs w:val="32"/>
          <w:highlight w:val="none"/>
          <w:lang w:val="en-US" w:eastAsia="zh-CN"/>
        </w:rPr>
        <w:t>]+Q</w:t>
      </w:r>
      <w:r>
        <w:rPr>
          <w:rFonts w:hint="eastAsia" w:ascii="仿宋_GB2312" w:hAnsi="仿宋_GB2312" w:eastAsia="仿宋_GB2312" w:cs="仿宋_GB2312"/>
          <w:bCs/>
          <w:color w:val="auto"/>
          <w:sz w:val="32"/>
          <w:szCs w:val="32"/>
          <w:highlight w:val="none"/>
          <w:vertAlign w:val="subscript"/>
          <w:lang w:val="en-US" w:eastAsia="zh-CN"/>
        </w:rPr>
        <w:t>峰</w:t>
      </w:r>
      <w:r>
        <w:rPr>
          <w:rFonts w:hint="eastAsia" w:ascii="仿宋_GB2312" w:hAnsi="仿宋_GB2312" w:eastAsia="仿宋_GB2312" w:cs="仿宋_GB2312"/>
          <w:bCs/>
          <w:color w:val="auto"/>
          <w:sz w:val="32"/>
          <w:szCs w:val="32"/>
          <w:highlight w:val="none"/>
          <w:lang w:val="en-US" w:eastAsia="zh-CN"/>
        </w:rPr>
        <w:t>×P</w:t>
      </w:r>
      <w:r>
        <w:rPr>
          <w:rFonts w:hint="eastAsia" w:ascii="仿宋_GB2312" w:hAnsi="仿宋_GB2312" w:eastAsia="仿宋_GB2312" w:cs="仿宋_GB2312"/>
          <w:bCs/>
          <w:color w:val="auto"/>
          <w:sz w:val="32"/>
          <w:szCs w:val="32"/>
          <w:highlight w:val="none"/>
          <w:vertAlign w:val="subscript"/>
          <w:lang w:val="en-US" w:eastAsia="zh-CN"/>
        </w:rPr>
        <w:t>峰谷浮动基准价</w:t>
      </w:r>
      <w:r>
        <w:rPr>
          <w:rFonts w:hint="eastAsia" w:ascii="仿宋_GB2312" w:hAnsi="仿宋_GB2312" w:eastAsia="仿宋_GB2312" w:cs="仿宋_GB2312"/>
          <w:bCs/>
          <w:color w:val="auto"/>
          <w:sz w:val="32"/>
          <w:szCs w:val="32"/>
          <w:highlight w:val="none"/>
          <w:lang w:val="en-US" w:eastAsia="zh-CN"/>
        </w:rPr>
        <w:t>×f1-Q</w:t>
      </w:r>
      <w:r>
        <w:rPr>
          <w:rFonts w:hint="eastAsia" w:ascii="仿宋_GB2312" w:hAnsi="仿宋_GB2312" w:eastAsia="仿宋_GB2312" w:cs="仿宋_GB2312"/>
          <w:bCs/>
          <w:color w:val="auto"/>
          <w:sz w:val="32"/>
          <w:szCs w:val="32"/>
          <w:highlight w:val="none"/>
          <w:vertAlign w:val="subscript"/>
          <w:lang w:val="en-US" w:eastAsia="zh-CN"/>
        </w:rPr>
        <w:t>谷</w:t>
      </w:r>
      <w:r>
        <w:rPr>
          <w:rFonts w:hint="eastAsia" w:ascii="仿宋_GB2312" w:hAnsi="仿宋_GB2312" w:eastAsia="仿宋_GB2312" w:cs="仿宋_GB2312"/>
          <w:bCs/>
          <w:color w:val="auto"/>
          <w:sz w:val="32"/>
          <w:szCs w:val="32"/>
          <w:highlight w:val="none"/>
          <w:lang w:val="en-US" w:eastAsia="zh-CN"/>
        </w:rPr>
        <w:t>×P</w:t>
      </w:r>
      <w:r>
        <w:rPr>
          <w:rFonts w:hint="eastAsia" w:ascii="仿宋_GB2312" w:hAnsi="仿宋_GB2312" w:eastAsia="仿宋_GB2312" w:cs="仿宋_GB2312"/>
          <w:bCs/>
          <w:color w:val="auto"/>
          <w:sz w:val="32"/>
          <w:szCs w:val="32"/>
          <w:highlight w:val="none"/>
          <w:vertAlign w:val="subscript"/>
          <w:lang w:val="en-US" w:eastAsia="zh-CN"/>
        </w:rPr>
        <w:t>峰谷浮动基准价</w:t>
      </w:r>
      <w:r>
        <w:rPr>
          <w:rFonts w:hint="eastAsia" w:ascii="仿宋_GB2312" w:hAnsi="仿宋_GB2312" w:eastAsia="仿宋_GB2312" w:cs="仿宋_GB2312"/>
          <w:bCs/>
          <w:color w:val="auto"/>
          <w:sz w:val="32"/>
          <w:szCs w:val="32"/>
          <w:highlight w:val="none"/>
          <w:lang w:val="en-US" w:eastAsia="zh-CN"/>
        </w:rPr>
        <w:t>×f2</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其中：</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C</w:t>
      </w:r>
      <w:r>
        <w:rPr>
          <w:rFonts w:hint="eastAsia" w:ascii="仿宋_GB2312" w:hAnsi="仿宋_GB2312" w:eastAsia="仿宋_GB2312" w:cs="仿宋_GB2312"/>
          <w:bCs/>
          <w:color w:val="auto"/>
          <w:sz w:val="32"/>
          <w:szCs w:val="32"/>
          <w:highlight w:val="none"/>
          <w:vertAlign w:val="subscript"/>
          <w:lang w:val="en-US" w:eastAsia="zh-CN"/>
        </w:rPr>
        <w:t>峰谷电费</w:t>
      </w:r>
      <w:r>
        <w:rPr>
          <w:rFonts w:hint="eastAsia" w:ascii="仿宋_GB2312" w:hAnsi="仿宋_GB2312" w:eastAsia="仿宋_GB2312" w:cs="仿宋_GB2312"/>
          <w:bCs/>
          <w:color w:val="auto"/>
          <w:sz w:val="32"/>
          <w:szCs w:val="32"/>
          <w:highlight w:val="none"/>
          <w:lang w:val="en-US" w:eastAsia="zh-CN"/>
        </w:rPr>
        <w:t>为批发用户（零售用户）峰谷电费；</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Q</w:t>
      </w:r>
      <w:r>
        <w:rPr>
          <w:rFonts w:hint="eastAsia" w:ascii="仿宋_GB2312" w:hAnsi="仿宋_GB2312" w:eastAsia="仿宋_GB2312" w:cs="仿宋_GB2312"/>
          <w:bCs/>
          <w:color w:val="auto"/>
          <w:sz w:val="32"/>
          <w:szCs w:val="32"/>
          <w:highlight w:val="none"/>
          <w:vertAlign w:val="subscript"/>
          <w:lang w:val="en-US" w:eastAsia="zh-CN"/>
        </w:rPr>
        <w:t>尖峰</w:t>
      </w:r>
      <w:r>
        <w:rPr>
          <w:rFonts w:hint="eastAsia" w:ascii="仿宋_GB2312" w:hAnsi="仿宋_GB2312" w:eastAsia="仿宋_GB2312" w:cs="仿宋_GB2312"/>
          <w:bCs/>
          <w:color w:val="auto"/>
          <w:sz w:val="32"/>
          <w:szCs w:val="32"/>
          <w:highlight w:val="none"/>
          <w:lang w:val="en-US" w:eastAsia="zh-CN"/>
        </w:rPr>
        <w:t>为批发用户（零售用户）月度尖峰时段实际用电量；</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Q</w:t>
      </w:r>
      <w:r>
        <w:rPr>
          <w:rFonts w:hint="eastAsia" w:ascii="仿宋_GB2312" w:hAnsi="仿宋_GB2312" w:eastAsia="仿宋_GB2312" w:cs="仿宋_GB2312"/>
          <w:bCs/>
          <w:color w:val="auto"/>
          <w:sz w:val="32"/>
          <w:szCs w:val="32"/>
          <w:highlight w:val="none"/>
          <w:vertAlign w:val="subscript"/>
          <w:lang w:val="en-US" w:eastAsia="zh-CN"/>
        </w:rPr>
        <w:t>峰</w:t>
      </w:r>
      <w:r>
        <w:rPr>
          <w:rFonts w:hint="eastAsia" w:ascii="仿宋_GB2312" w:hAnsi="仿宋_GB2312" w:eastAsia="仿宋_GB2312" w:cs="仿宋_GB2312"/>
          <w:bCs/>
          <w:color w:val="auto"/>
          <w:sz w:val="32"/>
          <w:szCs w:val="32"/>
          <w:highlight w:val="none"/>
          <w:lang w:val="en-US" w:eastAsia="zh-CN"/>
        </w:rPr>
        <w:t>为批发用户（零售用户）月度峰时段实际用电量；</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Q</w:t>
      </w:r>
      <w:r>
        <w:rPr>
          <w:rFonts w:hint="eastAsia" w:ascii="仿宋_GB2312" w:hAnsi="仿宋_GB2312" w:eastAsia="仿宋_GB2312" w:cs="仿宋_GB2312"/>
          <w:bCs/>
          <w:color w:val="auto"/>
          <w:sz w:val="32"/>
          <w:szCs w:val="32"/>
          <w:highlight w:val="none"/>
          <w:vertAlign w:val="subscript"/>
          <w:lang w:val="en-US" w:eastAsia="zh-CN"/>
        </w:rPr>
        <w:t>谷</w:t>
      </w:r>
      <w:r>
        <w:rPr>
          <w:rFonts w:hint="eastAsia" w:ascii="仿宋_GB2312" w:hAnsi="仿宋_GB2312" w:eastAsia="仿宋_GB2312" w:cs="仿宋_GB2312"/>
          <w:bCs/>
          <w:color w:val="auto"/>
          <w:sz w:val="32"/>
          <w:szCs w:val="32"/>
          <w:highlight w:val="none"/>
          <w:lang w:val="en-US" w:eastAsia="zh-CN"/>
        </w:rPr>
        <w:t>为批发用户（零售用户）月度谷时段实际用电量；</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P</w:t>
      </w:r>
      <w:r>
        <w:rPr>
          <w:rFonts w:hint="eastAsia" w:ascii="仿宋_GB2312" w:hAnsi="仿宋_GB2312" w:eastAsia="仿宋_GB2312" w:cs="仿宋_GB2312"/>
          <w:bCs/>
          <w:color w:val="auto"/>
          <w:sz w:val="32"/>
          <w:szCs w:val="32"/>
          <w:highlight w:val="none"/>
          <w:vertAlign w:val="subscript"/>
          <w:lang w:val="en-US" w:eastAsia="zh-CN"/>
        </w:rPr>
        <w:t>峰谷浮动基准价</w:t>
      </w:r>
      <w:r>
        <w:rPr>
          <w:rFonts w:hint="eastAsia" w:ascii="仿宋_GB2312" w:hAnsi="仿宋_GB2312" w:eastAsia="仿宋_GB2312" w:cs="仿宋_GB2312"/>
          <w:bCs/>
          <w:color w:val="auto"/>
          <w:sz w:val="32"/>
          <w:szCs w:val="32"/>
          <w:highlight w:val="none"/>
          <w:lang w:val="en-US" w:eastAsia="zh-CN"/>
        </w:rPr>
        <w:t>为峰谷浮动基准价按年度交易方案规定执行；</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f1为峰时段电价浮动比例；</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f2为谷时段电价浮动比例；</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f3为尖峰时段电价在峰时段电价基础上的上浮比例。</w:t>
      </w:r>
    </w:p>
    <w:p>
      <w:pPr>
        <w:pStyle w:val="22"/>
        <w:ind w:left="0" w:leftChars="0" w:firstLine="640" w:firstLineChars="200"/>
        <w:rPr>
          <w:rFonts w:hint="eastAsia" w:ascii="仿宋_GB2312" w:hAnsi="仿宋_GB2312" w:eastAsia="仿宋_GB2312" w:cs="仿宋_GB2312"/>
          <w:b w:val="0"/>
          <w:bCs w:val="0"/>
          <w:color w:val="auto"/>
          <w:kern w:val="2"/>
          <w:sz w:val="32"/>
          <w:szCs w:val="32"/>
          <w:highlight w:val="none"/>
          <w:lang w:val="zh-CN"/>
        </w:rPr>
      </w:pPr>
      <w:r>
        <w:rPr>
          <w:rFonts w:hint="eastAsia" w:ascii="仿宋_GB2312" w:hAnsi="仿宋_GB2312" w:eastAsia="仿宋_GB2312" w:cs="仿宋_GB2312"/>
          <w:bCs/>
          <w:color w:val="auto"/>
          <w:sz w:val="32"/>
          <w:szCs w:val="32"/>
          <w:highlight w:val="none"/>
          <w:lang w:val="en-US" w:eastAsia="zh-CN"/>
        </w:rPr>
        <w:t>5.1.5</w:t>
      </w:r>
      <w:r>
        <w:rPr>
          <w:rFonts w:hint="eastAsia" w:ascii="仿宋_GB2312" w:hAnsi="仿宋_GB2312" w:eastAsia="仿宋_GB2312" w:cs="仿宋_GB2312"/>
          <w:b w:val="0"/>
          <w:bCs w:val="0"/>
          <w:color w:val="auto"/>
          <w:kern w:val="2"/>
          <w:sz w:val="32"/>
          <w:szCs w:val="32"/>
          <w:highlight w:val="none"/>
          <w:lang w:val="zh-CN"/>
        </w:rPr>
        <w:t>省间中长期合约阻塞电费</w:t>
      </w:r>
    </w:p>
    <w:p>
      <w:pPr>
        <w:ind w:firstLine="640" w:firstLineChars="200"/>
        <w:rPr>
          <w:rFonts w:hint="eastAsia" w:ascii="仿宋_GB2312" w:hAnsi="仿宋_GB2312" w:eastAsia="仿宋_GB2312" w:cs="仿宋_GB2312"/>
          <w:bCs/>
          <w:color w:val="auto"/>
          <w:sz w:val="32"/>
          <w:szCs w:val="32"/>
          <w:highlight w:val="none"/>
          <w:vertAlign w:val="baseline"/>
          <w:lang w:val="en-US" w:eastAsia="zh-CN"/>
        </w:rPr>
      </w:pPr>
      <w:r>
        <w:rPr>
          <w:rFonts w:hint="eastAsia" w:ascii="仿宋_GB2312" w:hAnsi="仿宋_GB2312" w:eastAsia="仿宋_GB2312" w:cs="仿宋_GB2312"/>
          <w:bCs/>
          <w:color w:val="auto"/>
          <w:sz w:val="32"/>
          <w:szCs w:val="32"/>
          <w:highlight w:val="none"/>
          <w:vertAlign w:val="baseline"/>
          <w:lang w:val="en-US" w:eastAsia="zh-CN"/>
        </w:rPr>
        <w:t>根据用户侧参与省间中长期市场化交易后受端省（区）受入侧关口与用户侧统一结算点之间的价差引起的阻塞费用单独结算。</w:t>
      </w:r>
    </w:p>
    <w:p>
      <w:pPr>
        <w:pStyle w:val="22"/>
        <w:ind w:left="0" w:leftChars="0" w:firstLine="640" w:firstLineChars="200"/>
        <w:rPr>
          <w:rFonts w:hint="default"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vertAlign w:val="baseline"/>
          <w:lang w:val="en-US" w:eastAsia="zh-CN"/>
        </w:rPr>
        <w:t>C</w:t>
      </w:r>
      <w:r>
        <w:rPr>
          <w:rFonts w:hint="eastAsia" w:ascii="仿宋_GB2312" w:hAnsi="仿宋_GB2312" w:eastAsia="仿宋_GB2312" w:cs="仿宋_GB2312"/>
          <w:bCs/>
          <w:color w:val="auto"/>
          <w:sz w:val="32"/>
          <w:szCs w:val="32"/>
          <w:highlight w:val="none"/>
          <w:vertAlign w:val="subscript"/>
          <w:lang w:val="en-US" w:eastAsia="zh-CN"/>
        </w:rPr>
        <w:t>省间中长期合约阻塞</w:t>
      </w:r>
      <w:r>
        <w:rPr>
          <w:rFonts w:hint="eastAsia" w:ascii="仿宋_GB2312" w:hAnsi="仿宋_GB2312" w:eastAsia="仿宋_GB2312" w:cs="仿宋_GB2312"/>
          <w:bCs/>
          <w:color w:val="auto"/>
          <w:sz w:val="32"/>
          <w:szCs w:val="32"/>
          <w:highlight w:val="none"/>
          <w:vertAlign w:val="baseline"/>
          <w:lang w:val="en-US" w:eastAsia="zh-CN"/>
        </w:rPr>
        <w:t>=</w:t>
      </w:r>
      <w:r>
        <w:rPr>
          <w:rFonts w:hint="eastAsia" w:ascii="仿宋_GB2312" w:hAnsi="仿宋_GB2312" w:eastAsia="仿宋_GB2312" w:cs="仿宋_GB2312"/>
          <w:bCs/>
          <w:color w:val="auto"/>
          <w:sz w:val="32"/>
          <w:szCs w:val="32"/>
          <w:highlight w:val="none"/>
        </w:rPr>
        <w:t>Σ[Q</w:t>
      </w:r>
      <w:r>
        <w:rPr>
          <w:rFonts w:hint="eastAsia" w:ascii="仿宋_GB2312" w:hAnsi="仿宋_GB2312" w:eastAsia="仿宋_GB2312" w:cs="仿宋_GB2312"/>
          <w:bCs/>
          <w:color w:val="auto"/>
          <w:sz w:val="32"/>
          <w:szCs w:val="32"/>
          <w:highlight w:val="none"/>
          <w:vertAlign w:val="subscript"/>
          <w:lang w:eastAsia="zh-CN"/>
        </w:rPr>
        <w:t>省间</w:t>
      </w:r>
      <w:r>
        <w:rPr>
          <w:rFonts w:hint="eastAsia" w:ascii="仿宋_GB2312" w:hAnsi="仿宋_GB2312" w:eastAsia="仿宋_GB2312" w:cs="仿宋_GB2312"/>
          <w:bCs/>
          <w:color w:val="auto"/>
          <w:sz w:val="32"/>
          <w:szCs w:val="32"/>
          <w:highlight w:val="none"/>
          <w:vertAlign w:val="subscript"/>
        </w:rPr>
        <w:t>中长期合约,t</w:t>
      </w:r>
      <w:r>
        <w:rPr>
          <w:rFonts w:hint="eastAsia" w:ascii="仿宋_GB2312" w:hAnsi="仿宋_GB2312" w:eastAsia="仿宋_GB2312" w:cs="仿宋_GB2312"/>
          <w:bCs/>
          <w:color w:val="auto"/>
          <w:sz w:val="32"/>
          <w:szCs w:val="32"/>
          <w:highlight w:val="none"/>
        </w:rPr>
        <w:t>×</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bCs/>
          <w:color w:val="auto"/>
          <w:sz w:val="32"/>
          <w:szCs w:val="32"/>
          <w:highlight w:val="none"/>
          <w:vertAlign w:val="subscript"/>
          <w:lang w:eastAsia="zh-CN"/>
        </w:rPr>
        <w:t>落地侧日前</w:t>
      </w:r>
      <w:r>
        <w:rPr>
          <w:rFonts w:hint="eastAsia" w:ascii="仿宋_GB2312" w:hAnsi="仿宋_GB2312" w:eastAsia="仿宋_GB2312" w:cs="仿宋_GB2312"/>
          <w:bCs/>
          <w:color w:val="auto"/>
          <w:sz w:val="32"/>
          <w:szCs w:val="32"/>
          <w:highlight w:val="none"/>
          <w:vertAlign w:val="subscript"/>
        </w:rPr>
        <w:t>,t</w:t>
      </w:r>
      <w:r>
        <w:rPr>
          <w:rFonts w:hint="eastAsia" w:ascii="仿宋_GB2312" w:hAnsi="仿宋_GB2312" w:eastAsia="仿宋_GB2312" w:cs="仿宋_GB2312"/>
          <w:bCs/>
          <w:color w:val="auto"/>
          <w:sz w:val="32"/>
          <w:szCs w:val="32"/>
          <w:highlight w:val="none"/>
          <w:vertAlign w:val="baseline"/>
          <w:lang w:val="en-US" w:eastAsia="zh-CN"/>
        </w:rPr>
        <w:t>-</w:t>
      </w: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bCs/>
          <w:color w:val="auto"/>
          <w:sz w:val="32"/>
          <w:szCs w:val="32"/>
          <w:highlight w:val="none"/>
          <w:vertAlign w:val="subscript"/>
          <w:lang w:eastAsia="zh-CN"/>
        </w:rPr>
        <w:t>日前统一</w:t>
      </w:r>
      <w:r>
        <w:rPr>
          <w:rFonts w:hint="eastAsia" w:ascii="仿宋_GB2312" w:hAnsi="仿宋_GB2312" w:eastAsia="仿宋_GB2312" w:cs="仿宋_GB2312"/>
          <w:bCs/>
          <w:color w:val="auto"/>
          <w:sz w:val="32"/>
          <w:szCs w:val="32"/>
          <w:highlight w:val="none"/>
          <w:vertAlign w:val="subscript"/>
        </w:rPr>
        <w:t>,t</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lang w:val="en-US" w:eastAsia="zh-CN"/>
        </w:rPr>
        <w:t>]</w:t>
      </w:r>
    </w:p>
    <w:p>
      <w:pPr>
        <w:pStyle w:val="22"/>
        <w:ind w:left="0" w:leftChars="0" w:firstLine="640" w:firstLineChars="200"/>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其中：</w:t>
      </w:r>
    </w:p>
    <w:p>
      <w:pPr>
        <w:pStyle w:val="22"/>
        <w:ind w:left="0" w:leftChars="0" w:firstLine="640" w:firstLineChars="200"/>
        <w:rPr>
          <w:rFonts w:hint="eastAsia" w:ascii="仿宋_GB2312" w:hAnsi="仿宋_GB2312" w:eastAsia="仿宋_GB2312" w:cs="仿宋_GB2312"/>
          <w:bCs/>
          <w:color w:val="auto"/>
          <w:sz w:val="32"/>
          <w:szCs w:val="32"/>
          <w:highlight w:val="none"/>
          <w:vertAlign w:val="baseline"/>
          <w:lang w:val="en-US" w:eastAsia="zh-CN"/>
        </w:rPr>
      </w:pPr>
      <w:r>
        <w:rPr>
          <w:rFonts w:hint="eastAsia" w:ascii="仿宋_GB2312" w:hAnsi="仿宋_GB2312" w:eastAsia="仿宋_GB2312" w:cs="仿宋_GB2312"/>
          <w:bCs/>
          <w:color w:val="auto"/>
          <w:sz w:val="32"/>
          <w:szCs w:val="32"/>
          <w:highlight w:val="none"/>
          <w:vertAlign w:val="baseline"/>
          <w:lang w:val="en-US" w:eastAsia="zh-CN"/>
        </w:rPr>
        <w:t>C</w:t>
      </w:r>
      <w:r>
        <w:rPr>
          <w:rFonts w:hint="eastAsia" w:ascii="仿宋_GB2312" w:hAnsi="仿宋_GB2312" w:eastAsia="仿宋_GB2312" w:cs="仿宋_GB2312"/>
          <w:bCs/>
          <w:color w:val="auto"/>
          <w:sz w:val="32"/>
          <w:szCs w:val="32"/>
          <w:highlight w:val="none"/>
          <w:vertAlign w:val="subscript"/>
          <w:lang w:val="en-US" w:eastAsia="zh-CN"/>
        </w:rPr>
        <w:t>省间中长期合约阻塞</w:t>
      </w:r>
      <w:r>
        <w:rPr>
          <w:rFonts w:hint="eastAsia" w:ascii="仿宋_GB2312" w:hAnsi="仿宋_GB2312" w:eastAsia="仿宋_GB2312" w:cs="仿宋_GB2312"/>
          <w:bCs/>
          <w:color w:val="auto"/>
          <w:sz w:val="32"/>
          <w:szCs w:val="32"/>
          <w:highlight w:val="none"/>
          <w:vertAlign w:val="baseline"/>
          <w:lang w:val="en-US" w:eastAsia="zh-CN"/>
        </w:rPr>
        <w:t>为用户侧省间中长期合约阻塞电费；</w:t>
      </w:r>
    </w:p>
    <w:p>
      <w:pPr>
        <w:pStyle w:val="22"/>
        <w:ind w:left="0" w:leftChars="0"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bCs/>
          <w:color w:val="auto"/>
          <w:sz w:val="32"/>
          <w:szCs w:val="32"/>
          <w:highlight w:val="none"/>
          <w:vertAlign w:val="subscript"/>
          <w:lang w:eastAsia="zh-CN"/>
        </w:rPr>
        <w:t>省内</w:t>
      </w:r>
      <w:r>
        <w:rPr>
          <w:rFonts w:hint="eastAsia" w:ascii="仿宋_GB2312" w:hAnsi="仿宋_GB2312" w:eastAsia="仿宋_GB2312" w:cs="仿宋_GB2312"/>
          <w:bCs/>
          <w:color w:val="auto"/>
          <w:sz w:val="32"/>
          <w:szCs w:val="32"/>
          <w:highlight w:val="none"/>
          <w:vertAlign w:val="subscript"/>
        </w:rPr>
        <w:t>中长期合约,t</w:t>
      </w:r>
      <w:r>
        <w:rPr>
          <w:rFonts w:hint="eastAsia" w:ascii="仿宋_GB2312" w:hAnsi="仿宋_GB2312" w:eastAsia="仿宋_GB2312" w:cs="仿宋_GB2312"/>
          <w:bCs/>
          <w:color w:val="auto"/>
          <w:sz w:val="32"/>
          <w:szCs w:val="32"/>
          <w:highlight w:val="none"/>
        </w:rPr>
        <w:t>为T时段</w:t>
      </w:r>
      <w:r>
        <w:rPr>
          <w:rFonts w:hint="eastAsia" w:ascii="仿宋_GB2312" w:hAnsi="仿宋_GB2312" w:eastAsia="仿宋_GB2312" w:cs="仿宋_GB2312"/>
          <w:bCs/>
          <w:color w:val="auto"/>
          <w:sz w:val="32"/>
          <w:szCs w:val="32"/>
          <w:highlight w:val="none"/>
          <w:lang w:eastAsia="zh-CN"/>
        </w:rPr>
        <w:t>参与省间</w:t>
      </w:r>
      <w:r>
        <w:rPr>
          <w:rFonts w:hint="eastAsia" w:ascii="仿宋_GB2312" w:hAnsi="仿宋_GB2312" w:eastAsia="仿宋_GB2312" w:cs="仿宋_GB2312"/>
          <w:bCs/>
          <w:color w:val="auto"/>
          <w:sz w:val="32"/>
          <w:szCs w:val="32"/>
          <w:highlight w:val="none"/>
        </w:rPr>
        <w:t>中长期合约电量；</w:t>
      </w:r>
    </w:p>
    <w:p>
      <w:pPr>
        <w:pStyle w:val="22"/>
        <w:ind w:left="0" w:leftChars="0" w:firstLine="640" w:firstLineChars="200"/>
        <w:rPr>
          <w:rFonts w:hint="default"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bCs/>
          <w:color w:val="auto"/>
          <w:sz w:val="32"/>
          <w:szCs w:val="32"/>
          <w:highlight w:val="none"/>
          <w:vertAlign w:val="subscript"/>
          <w:lang w:eastAsia="zh-CN"/>
        </w:rPr>
        <w:t>落地侧日前</w:t>
      </w:r>
      <w:r>
        <w:rPr>
          <w:rFonts w:hint="eastAsia" w:ascii="仿宋_GB2312" w:hAnsi="仿宋_GB2312" w:eastAsia="仿宋_GB2312" w:cs="仿宋_GB2312"/>
          <w:bCs/>
          <w:color w:val="auto"/>
          <w:sz w:val="32"/>
          <w:szCs w:val="32"/>
          <w:highlight w:val="none"/>
          <w:vertAlign w:val="subscript"/>
        </w:rPr>
        <w:t>,t</w:t>
      </w:r>
      <w:r>
        <w:rPr>
          <w:rFonts w:hint="eastAsia" w:ascii="仿宋_GB2312" w:hAnsi="仿宋_GB2312" w:eastAsia="仿宋_GB2312" w:cs="仿宋_GB2312"/>
          <w:bCs/>
          <w:color w:val="auto"/>
          <w:sz w:val="32"/>
          <w:szCs w:val="32"/>
          <w:highlight w:val="none"/>
          <w:vertAlign w:val="baseline"/>
          <w:lang w:eastAsia="zh-CN"/>
        </w:rPr>
        <w:t>为对应的“网对网”送电类别落地侧</w:t>
      </w:r>
      <w:r>
        <w:rPr>
          <w:rFonts w:hint="eastAsia" w:ascii="仿宋_GB2312" w:hAnsi="仿宋_GB2312" w:eastAsia="仿宋_GB2312" w:cs="仿宋_GB2312"/>
          <w:bCs/>
          <w:color w:val="auto"/>
          <w:sz w:val="32"/>
          <w:szCs w:val="32"/>
          <w:highlight w:val="none"/>
          <w:vertAlign w:val="baseline"/>
          <w:lang w:val="en-US" w:eastAsia="zh-CN"/>
        </w:rPr>
        <w:t>T时段日前结算电价；</w:t>
      </w:r>
    </w:p>
    <w:p>
      <w:pPr>
        <w:pStyle w:val="22"/>
        <w:ind w:left="0" w:leftChars="0" w:firstLine="640" w:firstLineChars="200"/>
        <w:rPr>
          <w:rFonts w:hint="eastAsia" w:ascii="仿宋_GB2312" w:hAnsi="仿宋_GB2312" w:eastAsia="仿宋_GB2312" w:cs="仿宋_GB2312"/>
          <w:bCs/>
          <w:color w:val="auto"/>
          <w:sz w:val="32"/>
          <w:szCs w:val="32"/>
          <w:highlight w:val="none"/>
          <w:lang w:eastAsia="zh-CN"/>
        </w:rPr>
      </w:pP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bCs/>
          <w:color w:val="auto"/>
          <w:sz w:val="32"/>
          <w:szCs w:val="32"/>
          <w:highlight w:val="none"/>
          <w:vertAlign w:val="subscript"/>
        </w:rPr>
        <w:t>日前统一,t</w:t>
      </w:r>
      <w:r>
        <w:rPr>
          <w:rFonts w:hint="eastAsia" w:ascii="仿宋_GB2312" w:hAnsi="仿宋_GB2312" w:eastAsia="仿宋_GB2312" w:cs="仿宋_GB2312"/>
          <w:bCs/>
          <w:color w:val="auto"/>
          <w:sz w:val="32"/>
          <w:szCs w:val="32"/>
          <w:highlight w:val="none"/>
        </w:rPr>
        <w:t>为日前市场T时段统一结算点电价</w:t>
      </w:r>
      <w:r>
        <w:rPr>
          <w:rFonts w:hint="eastAsia" w:ascii="仿宋_GB2312" w:hAnsi="仿宋_GB2312" w:eastAsia="仿宋_GB2312" w:cs="仿宋_GB2312"/>
          <w:bCs/>
          <w:color w:val="auto"/>
          <w:sz w:val="32"/>
          <w:szCs w:val="32"/>
          <w:highlight w:val="none"/>
          <w:lang w:eastAsia="zh-CN"/>
        </w:rPr>
        <w:t>。</w:t>
      </w:r>
    </w:p>
    <w:p>
      <w:pPr>
        <w:pStyle w:val="66"/>
        <w:keepNext w:val="0"/>
        <w:keepLines w:val="0"/>
        <w:pageBreakBefore w:val="0"/>
        <w:numPr>
          <w:ilvl w:val="1"/>
          <w:numId w:val="10"/>
        </w:numPr>
        <w:kinsoku/>
        <w:wordWrap/>
        <w:overflowPunct/>
        <w:topLinePunct w:val="0"/>
        <w:autoSpaceDE/>
        <w:autoSpaceDN/>
        <w:bidi w:val="0"/>
        <w:adjustRightInd/>
        <w:snapToGrid/>
        <w:spacing w:line="560" w:lineRule="exact"/>
        <w:ind w:left="0" w:leftChars="0" w:firstLine="643" w:firstLineChars="200"/>
        <w:textAlignment w:val="auto"/>
        <w:outlineLvl w:val="1"/>
        <w:rPr>
          <w:rFonts w:hint="eastAsia" w:ascii="仿宋_GB2312" w:hAnsi="仿宋_GB2312" w:eastAsia="仿宋_GB2312" w:cs="仿宋_GB2312"/>
          <w:b/>
          <w:bCs/>
          <w:color w:val="auto"/>
          <w:sz w:val="32"/>
          <w:szCs w:val="32"/>
          <w:highlight w:val="none"/>
          <w:lang w:val="zh-CN"/>
        </w:rPr>
      </w:pPr>
      <w:bookmarkStart w:id="116" w:name="_Toc22273"/>
      <w:bookmarkStart w:id="117" w:name="_Toc12089"/>
      <w:r>
        <w:rPr>
          <w:rFonts w:hint="eastAsia" w:ascii="仿宋_GB2312" w:hAnsi="仿宋_GB2312" w:eastAsia="仿宋_GB2312" w:cs="仿宋_GB2312"/>
          <w:b/>
          <w:bCs/>
          <w:color w:val="auto"/>
          <w:sz w:val="32"/>
          <w:szCs w:val="32"/>
          <w:highlight w:val="none"/>
        </w:rPr>
        <w:t>发电侧</w:t>
      </w:r>
      <w:r>
        <w:rPr>
          <w:rFonts w:hint="eastAsia" w:ascii="仿宋_GB2312" w:hAnsi="仿宋_GB2312" w:eastAsia="仿宋_GB2312" w:cs="仿宋_GB2312"/>
          <w:b/>
          <w:bCs/>
          <w:color w:val="auto"/>
          <w:sz w:val="32"/>
          <w:szCs w:val="32"/>
          <w:highlight w:val="none"/>
          <w:lang w:val="zh-CN"/>
        </w:rPr>
        <w:t>结算</w:t>
      </w:r>
      <w:bookmarkEnd w:id="116"/>
      <w:bookmarkEnd w:id="117"/>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直接参与交易的机组总电费包含中长期合约电费、日前市场偏差电费、实时市场偏差电费、跨省不平衡资金、</w:t>
      </w:r>
      <w:r>
        <w:rPr>
          <w:rFonts w:hint="eastAsia" w:ascii="仿宋_GB2312" w:hAnsi="仿宋_GB2312" w:eastAsia="仿宋_GB2312" w:cs="仿宋_GB2312"/>
          <w:bCs/>
          <w:color w:val="auto"/>
          <w:sz w:val="32"/>
          <w:szCs w:val="32"/>
          <w:highlight w:val="none"/>
          <w:lang w:eastAsia="zh-CN"/>
        </w:rPr>
        <w:t>省内</w:t>
      </w:r>
      <w:r>
        <w:rPr>
          <w:rFonts w:hint="eastAsia" w:ascii="仿宋_GB2312" w:hAnsi="仿宋_GB2312" w:eastAsia="仿宋_GB2312" w:cs="仿宋_GB2312"/>
          <w:bCs/>
          <w:color w:val="auto"/>
          <w:sz w:val="32"/>
          <w:szCs w:val="32"/>
          <w:highlight w:val="none"/>
        </w:rPr>
        <w:t>中长期合约阻塞电费、</w:t>
      </w:r>
      <w:r>
        <w:rPr>
          <w:rFonts w:hint="eastAsia" w:ascii="仿宋_GB2312" w:hAnsi="仿宋_GB2312" w:eastAsia="仿宋_GB2312" w:cs="仿宋_GB2312"/>
          <w:b w:val="0"/>
          <w:bCs w:val="0"/>
          <w:color w:val="auto"/>
          <w:kern w:val="2"/>
          <w:sz w:val="32"/>
          <w:szCs w:val="32"/>
          <w:highlight w:val="none"/>
          <w:lang w:val="zh-CN"/>
        </w:rPr>
        <w:t>省间中长期合约阻塞电费、</w:t>
      </w:r>
      <w:r>
        <w:rPr>
          <w:rFonts w:hint="eastAsia" w:ascii="仿宋_GB2312" w:hAnsi="仿宋_GB2312" w:eastAsia="仿宋_GB2312" w:cs="仿宋_GB2312"/>
          <w:bCs/>
          <w:color w:val="auto"/>
          <w:sz w:val="32"/>
          <w:szCs w:val="32"/>
          <w:highlight w:val="none"/>
          <w:lang w:val="en-US" w:eastAsia="zh-CN"/>
        </w:rPr>
        <w:t>返还</w:t>
      </w:r>
      <w:r>
        <w:rPr>
          <w:rFonts w:hint="eastAsia" w:ascii="仿宋_GB2312" w:hAnsi="仿宋_GB2312" w:eastAsia="仿宋_GB2312" w:cs="仿宋_GB2312"/>
          <w:bCs/>
          <w:color w:val="auto"/>
          <w:sz w:val="32"/>
          <w:szCs w:val="32"/>
          <w:highlight w:val="none"/>
        </w:rPr>
        <w:t>电费</w:t>
      </w:r>
      <w:r>
        <w:rPr>
          <w:rFonts w:hint="eastAsia" w:ascii="仿宋_GB2312" w:hAnsi="仿宋_GB2312" w:eastAsia="仿宋_GB2312" w:cs="仿宋_GB2312"/>
          <w:bCs/>
          <w:color w:val="auto"/>
          <w:sz w:val="32"/>
          <w:szCs w:val="32"/>
          <w:highlight w:val="none"/>
          <w:lang w:val="en-US" w:eastAsia="zh-CN"/>
        </w:rPr>
        <w:t>及分摊</w:t>
      </w:r>
      <w:r>
        <w:rPr>
          <w:rFonts w:hint="eastAsia" w:ascii="仿宋_GB2312" w:hAnsi="仿宋_GB2312" w:eastAsia="仿宋_GB2312" w:cs="仿宋_GB2312"/>
          <w:bCs/>
          <w:color w:val="auto"/>
          <w:sz w:val="32"/>
          <w:szCs w:val="32"/>
          <w:highlight w:val="none"/>
        </w:rPr>
        <w:t>电费。</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lang w:eastAsia="zh-CN"/>
        </w:rPr>
      </w:pP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rPr>
        <w:t>收入</w:t>
      </w: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rPr>
        <w:t>中长期合约</w:t>
      </w: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rPr>
        <w:t>日前</w:t>
      </w: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rPr>
        <w:t>实时</w:t>
      </w: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lang w:eastAsia="zh-CN"/>
        </w:rPr>
        <w:t>省内</w:t>
      </w:r>
      <w:r>
        <w:rPr>
          <w:rFonts w:hint="eastAsia" w:ascii="仿宋_GB2312" w:hAnsi="仿宋_GB2312" w:eastAsia="仿宋_GB2312" w:cs="仿宋_GB2312"/>
          <w:bCs/>
          <w:color w:val="auto"/>
          <w:sz w:val="32"/>
          <w:szCs w:val="32"/>
          <w:highlight w:val="none"/>
          <w:vertAlign w:val="subscript"/>
        </w:rPr>
        <w:t>中长期合约阻塞</w:t>
      </w: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lang w:eastAsia="zh-CN"/>
        </w:rPr>
        <w:t>省间</w:t>
      </w:r>
      <w:r>
        <w:rPr>
          <w:rFonts w:hint="eastAsia" w:ascii="仿宋_GB2312" w:hAnsi="仿宋_GB2312" w:eastAsia="仿宋_GB2312" w:cs="仿宋_GB2312"/>
          <w:bCs/>
          <w:color w:val="auto"/>
          <w:sz w:val="32"/>
          <w:szCs w:val="32"/>
          <w:highlight w:val="none"/>
          <w:vertAlign w:val="subscript"/>
        </w:rPr>
        <w:t>中长期合约阻塞</w:t>
      </w: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lang w:eastAsia="zh-CN"/>
        </w:rPr>
        <w:t>返还</w:t>
      </w: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lang w:eastAsia="zh-CN"/>
        </w:rPr>
        <w:t>分摊</w:t>
      </w: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rPr>
        <w:t>跨省不平衡资金</w:t>
      </w:r>
      <w:r>
        <w:rPr>
          <w:rFonts w:hint="eastAsia" w:ascii="仿宋_GB2312" w:hAnsi="仿宋_GB2312" w:eastAsia="仿宋_GB2312" w:cs="仿宋_GB2312"/>
          <w:color w:val="auto"/>
          <w:sz w:val="32"/>
          <w:szCs w:val="32"/>
          <w:highlight w:val="none"/>
          <w:vertAlign w:val="subscript"/>
        </w:rPr>
        <w:t>（省内）</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其中：</w:t>
      </w:r>
    </w:p>
    <w:p>
      <w:pPr>
        <w:pStyle w:val="23"/>
        <w:keepNext w:val="0"/>
        <w:keepLines w:val="0"/>
        <w:pageBreakBefore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rPr>
        <w:t>收入</w:t>
      </w:r>
      <w:r>
        <w:rPr>
          <w:rFonts w:hint="eastAsia" w:ascii="仿宋_GB2312" w:hAnsi="仿宋_GB2312" w:eastAsia="仿宋_GB2312" w:cs="仿宋_GB2312"/>
          <w:bCs/>
          <w:color w:val="auto"/>
          <w:kern w:val="2"/>
          <w:sz w:val="32"/>
          <w:szCs w:val="32"/>
          <w:highlight w:val="none"/>
        </w:rPr>
        <w:t>为直接参与交易的</w:t>
      </w:r>
      <w:r>
        <w:rPr>
          <w:rFonts w:hint="eastAsia" w:ascii="仿宋_GB2312" w:hAnsi="仿宋_GB2312" w:eastAsia="仿宋_GB2312" w:cs="仿宋_GB2312"/>
          <w:bCs/>
          <w:color w:val="auto"/>
          <w:sz w:val="32"/>
          <w:szCs w:val="32"/>
          <w:highlight w:val="none"/>
        </w:rPr>
        <w:t>机组</w:t>
      </w:r>
      <w:r>
        <w:rPr>
          <w:rFonts w:hint="eastAsia" w:ascii="仿宋_GB2312" w:hAnsi="仿宋_GB2312" w:eastAsia="仿宋_GB2312" w:cs="仿宋_GB2312"/>
          <w:bCs/>
          <w:color w:val="auto"/>
          <w:kern w:val="2"/>
          <w:sz w:val="32"/>
          <w:szCs w:val="32"/>
          <w:highlight w:val="none"/>
        </w:rPr>
        <w:t>电费收入；</w:t>
      </w:r>
    </w:p>
    <w:p>
      <w:pPr>
        <w:pStyle w:val="23"/>
        <w:keepNext w:val="0"/>
        <w:keepLines w:val="0"/>
        <w:pageBreakBefore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2"/>
          <w:sz w:val="32"/>
          <w:szCs w:val="32"/>
          <w:highlight w:val="none"/>
        </w:rPr>
        <w:t>R</w:t>
      </w:r>
      <w:r>
        <w:rPr>
          <w:rFonts w:hint="eastAsia" w:ascii="仿宋_GB2312" w:hAnsi="仿宋_GB2312" w:eastAsia="仿宋_GB2312" w:cs="仿宋_GB2312"/>
          <w:bCs/>
          <w:color w:val="auto"/>
          <w:kern w:val="2"/>
          <w:sz w:val="32"/>
          <w:szCs w:val="32"/>
          <w:highlight w:val="none"/>
          <w:vertAlign w:val="subscript"/>
        </w:rPr>
        <w:t>中长期合约</w:t>
      </w:r>
      <w:r>
        <w:rPr>
          <w:rFonts w:hint="eastAsia" w:ascii="仿宋_GB2312" w:hAnsi="仿宋_GB2312" w:eastAsia="仿宋_GB2312" w:cs="仿宋_GB2312"/>
          <w:bCs/>
          <w:color w:val="auto"/>
          <w:kern w:val="2"/>
          <w:sz w:val="32"/>
          <w:szCs w:val="32"/>
          <w:highlight w:val="none"/>
        </w:rPr>
        <w:t>为</w:t>
      </w:r>
      <w:r>
        <w:rPr>
          <w:rFonts w:hint="eastAsia" w:ascii="仿宋_GB2312" w:hAnsi="仿宋_GB2312" w:eastAsia="仿宋_GB2312" w:cs="仿宋_GB2312"/>
          <w:bCs/>
          <w:color w:val="auto"/>
          <w:sz w:val="32"/>
          <w:szCs w:val="32"/>
          <w:highlight w:val="none"/>
        </w:rPr>
        <w:t>机组</w:t>
      </w:r>
      <w:r>
        <w:rPr>
          <w:rFonts w:hint="eastAsia" w:ascii="仿宋_GB2312" w:hAnsi="仿宋_GB2312" w:eastAsia="仿宋_GB2312" w:cs="仿宋_GB2312"/>
          <w:bCs/>
          <w:color w:val="auto"/>
          <w:kern w:val="2"/>
          <w:sz w:val="32"/>
          <w:szCs w:val="32"/>
          <w:highlight w:val="none"/>
        </w:rPr>
        <w:t>中长期合约</w:t>
      </w:r>
      <w:r>
        <w:rPr>
          <w:rFonts w:hint="eastAsia" w:ascii="仿宋_GB2312" w:hAnsi="仿宋_GB2312" w:eastAsia="仿宋_GB2312" w:cs="仿宋_GB2312"/>
          <w:b w:val="0"/>
          <w:bCs w:val="0"/>
          <w:color w:val="auto"/>
          <w:kern w:val="2"/>
          <w:sz w:val="32"/>
          <w:szCs w:val="32"/>
          <w:highlight w:val="none"/>
          <w:lang w:val="zh-CN"/>
        </w:rPr>
        <w:t>电能量</w:t>
      </w:r>
      <w:r>
        <w:rPr>
          <w:rFonts w:hint="eastAsia" w:ascii="仿宋_GB2312" w:hAnsi="仿宋_GB2312" w:eastAsia="仿宋_GB2312" w:cs="仿宋_GB2312"/>
          <w:bCs/>
          <w:color w:val="auto"/>
          <w:kern w:val="2"/>
          <w:sz w:val="32"/>
          <w:szCs w:val="32"/>
          <w:highlight w:val="none"/>
        </w:rPr>
        <w:t>电费收入（包括省间中长期合约、省内中长期合约、代购市场电量合约，下同）；</w:t>
      </w:r>
    </w:p>
    <w:p>
      <w:pPr>
        <w:pStyle w:val="23"/>
        <w:keepNext w:val="0"/>
        <w:keepLines w:val="0"/>
        <w:pageBreakBefore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2"/>
          <w:sz w:val="32"/>
          <w:szCs w:val="32"/>
          <w:highlight w:val="none"/>
        </w:rPr>
        <w:t>R</w:t>
      </w:r>
      <w:r>
        <w:rPr>
          <w:rFonts w:hint="eastAsia" w:ascii="仿宋_GB2312" w:hAnsi="仿宋_GB2312" w:eastAsia="仿宋_GB2312" w:cs="仿宋_GB2312"/>
          <w:bCs/>
          <w:color w:val="auto"/>
          <w:kern w:val="2"/>
          <w:sz w:val="32"/>
          <w:szCs w:val="32"/>
          <w:highlight w:val="none"/>
          <w:vertAlign w:val="subscript"/>
        </w:rPr>
        <w:t>日前</w:t>
      </w:r>
      <w:r>
        <w:rPr>
          <w:rFonts w:hint="eastAsia" w:ascii="仿宋_GB2312" w:hAnsi="仿宋_GB2312" w:eastAsia="仿宋_GB2312" w:cs="仿宋_GB2312"/>
          <w:bCs/>
          <w:color w:val="auto"/>
          <w:kern w:val="2"/>
          <w:sz w:val="32"/>
          <w:szCs w:val="32"/>
          <w:highlight w:val="none"/>
        </w:rPr>
        <w:t>为</w:t>
      </w:r>
      <w:r>
        <w:rPr>
          <w:rFonts w:hint="eastAsia" w:ascii="仿宋_GB2312" w:hAnsi="仿宋_GB2312" w:eastAsia="仿宋_GB2312" w:cs="仿宋_GB2312"/>
          <w:bCs/>
          <w:color w:val="auto"/>
          <w:sz w:val="32"/>
          <w:szCs w:val="32"/>
          <w:highlight w:val="none"/>
        </w:rPr>
        <w:t>机组</w:t>
      </w:r>
      <w:r>
        <w:rPr>
          <w:rFonts w:hint="eastAsia" w:ascii="仿宋_GB2312" w:hAnsi="仿宋_GB2312" w:eastAsia="仿宋_GB2312" w:cs="仿宋_GB2312"/>
          <w:bCs/>
          <w:color w:val="auto"/>
          <w:kern w:val="2"/>
          <w:sz w:val="32"/>
          <w:szCs w:val="32"/>
          <w:highlight w:val="none"/>
        </w:rPr>
        <w:t>日前市场偏差</w:t>
      </w:r>
      <w:r>
        <w:rPr>
          <w:rFonts w:hint="eastAsia" w:ascii="仿宋_GB2312" w:hAnsi="仿宋_GB2312" w:eastAsia="仿宋_GB2312" w:cs="仿宋_GB2312"/>
          <w:b w:val="0"/>
          <w:bCs w:val="0"/>
          <w:color w:val="auto"/>
          <w:kern w:val="2"/>
          <w:sz w:val="32"/>
          <w:szCs w:val="32"/>
          <w:highlight w:val="none"/>
          <w:lang w:val="zh-CN"/>
        </w:rPr>
        <w:t>电能量</w:t>
      </w:r>
      <w:r>
        <w:rPr>
          <w:rFonts w:hint="eastAsia" w:ascii="仿宋_GB2312" w:hAnsi="仿宋_GB2312" w:eastAsia="仿宋_GB2312" w:cs="仿宋_GB2312"/>
          <w:bCs/>
          <w:color w:val="auto"/>
          <w:kern w:val="2"/>
          <w:sz w:val="32"/>
          <w:szCs w:val="32"/>
          <w:highlight w:val="none"/>
        </w:rPr>
        <w:t>电费收入；</w:t>
      </w:r>
    </w:p>
    <w:p>
      <w:pPr>
        <w:pStyle w:val="23"/>
        <w:keepNext w:val="0"/>
        <w:keepLines w:val="0"/>
        <w:pageBreakBefore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2"/>
          <w:sz w:val="32"/>
          <w:szCs w:val="32"/>
          <w:highlight w:val="none"/>
        </w:rPr>
        <w:t>R</w:t>
      </w:r>
      <w:r>
        <w:rPr>
          <w:rFonts w:hint="eastAsia" w:ascii="仿宋_GB2312" w:hAnsi="仿宋_GB2312" w:eastAsia="仿宋_GB2312" w:cs="仿宋_GB2312"/>
          <w:bCs/>
          <w:color w:val="auto"/>
          <w:kern w:val="2"/>
          <w:sz w:val="32"/>
          <w:szCs w:val="32"/>
          <w:highlight w:val="none"/>
          <w:vertAlign w:val="subscript"/>
        </w:rPr>
        <w:t>实时</w:t>
      </w:r>
      <w:r>
        <w:rPr>
          <w:rFonts w:hint="eastAsia" w:ascii="仿宋_GB2312" w:hAnsi="仿宋_GB2312" w:eastAsia="仿宋_GB2312" w:cs="仿宋_GB2312"/>
          <w:bCs/>
          <w:color w:val="auto"/>
          <w:kern w:val="2"/>
          <w:sz w:val="32"/>
          <w:szCs w:val="32"/>
          <w:highlight w:val="none"/>
        </w:rPr>
        <w:t>为</w:t>
      </w:r>
      <w:r>
        <w:rPr>
          <w:rFonts w:hint="eastAsia" w:ascii="仿宋_GB2312" w:hAnsi="仿宋_GB2312" w:eastAsia="仿宋_GB2312" w:cs="仿宋_GB2312"/>
          <w:bCs/>
          <w:color w:val="auto"/>
          <w:sz w:val="32"/>
          <w:szCs w:val="32"/>
          <w:highlight w:val="none"/>
        </w:rPr>
        <w:t>机组</w:t>
      </w:r>
      <w:r>
        <w:rPr>
          <w:rFonts w:hint="eastAsia" w:ascii="仿宋_GB2312" w:hAnsi="仿宋_GB2312" w:eastAsia="仿宋_GB2312" w:cs="仿宋_GB2312"/>
          <w:bCs/>
          <w:color w:val="auto"/>
          <w:kern w:val="2"/>
          <w:sz w:val="32"/>
          <w:szCs w:val="32"/>
          <w:highlight w:val="none"/>
        </w:rPr>
        <w:t>实时市场偏差</w:t>
      </w:r>
      <w:r>
        <w:rPr>
          <w:rFonts w:hint="eastAsia" w:ascii="仿宋_GB2312" w:hAnsi="仿宋_GB2312" w:eastAsia="仿宋_GB2312" w:cs="仿宋_GB2312"/>
          <w:b w:val="0"/>
          <w:bCs w:val="0"/>
          <w:color w:val="auto"/>
          <w:kern w:val="2"/>
          <w:sz w:val="32"/>
          <w:szCs w:val="32"/>
          <w:highlight w:val="none"/>
          <w:lang w:val="zh-CN"/>
        </w:rPr>
        <w:t>电能量</w:t>
      </w:r>
      <w:r>
        <w:rPr>
          <w:rFonts w:hint="eastAsia" w:ascii="仿宋_GB2312" w:hAnsi="仿宋_GB2312" w:eastAsia="仿宋_GB2312" w:cs="仿宋_GB2312"/>
          <w:bCs/>
          <w:color w:val="auto"/>
          <w:kern w:val="2"/>
          <w:sz w:val="32"/>
          <w:szCs w:val="32"/>
          <w:highlight w:val="none"/>
        </w:rPr>
        <w:t>电费收入；</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lang w:eastAsia="zh-CN"/>
        </w:rPr>
        <w:t>省内</w:t>
      </w:r>
      <w:r>
        <w:rPr>
          <w:rFonts w:hint="eastAsia" w:ascii="仿宋_GB2312" w:hAnsi="仿宋_GB2312" w:eastAsia="仿宋_GB2312" w:cs="仿宋_GB2312"/>
          <w:color w:val="auto"/>
          <w:sz w:val="32"/>
          <w:szCs w:val="32"/>
          <w:highlight w:val="none"/>
          <w:vertAlign w:val="subscript"/>
        </w:rPr>
        <w:t>中长期合同阻塞</w:t>
      </w:r>
      <w:r>
        <w:rPr>
          <w:rFonts w:hint="eastAsia" w:ascii="仿宋_GB2312" w:hAnsi="仿宋_GB2312" w:eastAsia="仿宋_GB2312" w:cs="仿宋_GB2312"/>
          <w:color w:val="auto"/>
          <w:sz w:val="32"/>
          <w:szCs w:val="32"/>
          <w:highlight w:val="none"/>
        </w:rPr>
        <w:t>为</w:t>
      </w:r>
      <w:r>
        <w:rPr>
          <w:rFonts w:hint="eastAsia" w:ascii="仿宋_GB2312" w:hAnsi="仿宋_GB2312" w:eastAsia="仿宋_GB2312" w:cs="仿宋_GB2312"/>
          <w:bCs/>
          <w:color w:val="auto"/>
          <w:sz w:val="32"/>
          <w:szCs w:val="32"/>
          <w:highlight w:val="none"/>
        </w:rPr>
        <w:t>机组</w:t>
      </w:r>
      <w:r>
        <w:rPr>
          <w:rFonts w:hint="eastAsia" w:ascii="仿宋_GB2312" w:hAnsi="仿宋_GB2312" w:eastAsia="仿宋_GB2312" w:cs="仿宋_GB2312"/>
          <w:bCs/>
          <w:color w:val="auto"/>
          <w:sz w:val="32"/>
          <w:szCs w:val="32"/>
          <w:highlight w:val="none"/>
          <w:lang w:eastAsia="zh-CN"/>
        </w:rPr>
        <w:t>省内</w:t>
      </w:r>
      <w:r>
        <w:rPr>
          <w:rFonts w:hint="eastAsia" w:ascii="仿宋_GB2312" w:hAnsi="仿宋_GB2312" w:eastAsia="仿宋_GB2312" w:cs="仿宋_GB2312"/>
          <w:bCs/>
          <w:color w:val="auto"/>
          <w:sz w:val="32"/>
          <w:szCs w:val="32"/>
          <w:highlight w:val="none"/>
        </w:rPr>
        <w:t>中长期合约阻塞电费；</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lang w:val="en-US" w:eastAsia="zh-CN"/>
        </w:rPr>
        <w:t>R</w:t>
      </w:r>
      <w:r>
        <w:rPr>
          <w:rFonts w:hint="eastAsia" w:ascii="仿宋_GB2312" w:hAnsi="仿宋_GB2312" w:eastAsia="仿宋_GB2312" w:cs="仿宋_GB2312"/>
          <w:bCs/>
          <w:color w:val="auto"/>
          <w:sz w:val="32"/>
          <w:szCs w:val="32"/>
          <w:highlight w:val="none"/>
          <w:vertAlign w:val="subscript"/>
          <w:lang w:val="en-US" w:eastAsia="zh-CN"/>
        </w:rPr>
        <w:t>省间中长期合约阻塞</w:t>
      </w:r>
      <w:r>
        <w:rPr>
          <w:rFonts w:hint="eastAsia" w:ascii="仿宋_GB2312" w:hAnsi="仿宋_GB2312" w:eastAsia="仿宋_GB2312" w:cs="仿宋_GB2312"/>
          <w:bCs/>
          <w:color w:val="auto"/>
          <w:sz w:val="32"/>
          <w:szCs w:val="32"/>
          <w:highlight w:val="none"/>
          <w:vertAlign w:val="baseline"/>
          <w:lang w:val="en-US" w:eastAsia="zh-CN"/>
        </w:rPr>
        <w:t>为机组省间中长期合约阻塞电费；</w:t>
      </w:r>
    </w:p>
    <w:p>
      <w:pPr>
        <w:pStyle w:val="23"/>
        <w:keepNext w:val="0"/>
        <w:keepLines w:val="0"/>
        <w:pageBreakBefore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rPr>
          <w:rFonts w:hint="eastAsia" w:ascii="仿宋_GB2312" w:hAnsi="仿宋_GB2312" w:eastAsia="仿宋_GB2312" w:cs="仿宋_GB2312"/>
          <w:bCs/>
          <w:color w:val="auto"/>
          <w:sz w:val="32"/>
          <w:szCs w:val="32"/>
          <w:highlight w:val="none"/>
          <w:vertAlign w:val="subscript"/>
        </w:rPr>
      </w:pPr>
      <w:r>
        <w:rPr>
          <w:rFonts w:hint="eastAsia" w:ascii="仿宋_GB2312" w:hAnsi="仿宋_GB2312" w:eastAsia="仿宋_GB2312" w:cs="仿宋_GB2312"/>
          <w:bCs/>
          <w:color w:val="auto"/>
          <w:kern w:val="2"/>
          <w:sz w:val="32"/>
          <w:szCs w:val="32"/>
          <w:highlight w:val="none"/>
        </w:rPr>
        <w:t>R</w:t>
      </w:r>
      <w:r>
        <w:rPr>
          <w:rFonts w:hint="eastAsia" w:ascii="仿宋_GB2312" w:hAnsi="仿宋_GB2312" w:eastAsia="仿宋_GB2312" w:cs="仿宋_GB2312"/>
          <w:bCs/>
          <w:color w:val="auto"/>
          <w:kern w:val="2"/>
          <w:sz w:val="32"/>
          <w:szCs w:val="32"/>
          <w:highlight w:val="none"/>
          <w:vertAlign w:val="subscript"/>
          <w:lang w:eastAsia="zh-CN"/>
        </w:rPr>
        <w:t>返还</w:t>
      </w:r>
      <w:r>
        <w:rPr>
          <w:rFonts w:hint="eastAsia" w:ascii="仿宋_GB2312" w:hAnsi="仿宋_GB2312" w:eastAsia="仿宋_GB2312" w:cs="仿宋_GB2312"/>
          <w:bCs/>
          <w:color w:val="auto"/>
          <w:kern w:val="2"/>
          <w:sz w:val="32"/>
          <w:szCs w:val="32"/>
          <w:highlight w:val="none"/>
        </w:rPr>
        <w:t>为机组</w:t>
      </w:r>
      <w:r>
        <w:rPr>
          <w:rFonts w:hint="eastAsia" w:ascii="仿宋_GB2312" w:hAnsi="仿宋_GB2312" w:eastAsia="仿宋_GB2312" w:cs="仿宋_GB2312"/>
          <w:bCs/>
          <w:color w:val="auto"/>
          <w:kern w:val="2"/>
          <w:sz w:val="32"/>
          <w:szCs w:val="32"/>
          <w:highlight w:val="none"/>
          <w:lang w:eastAsia="zh-CN"/>
        </w:rPr>
        <w:t>考核、补偿及其他返还电费</w:t>
      </w:r>
      <w:r>
        <w:rPr>
          <w:rFonts w:hint="eastAsia" w:ascii="仿宋_GB2312" w:hAnsi="仿宋_GB2312" w:eastAsia="仿宋_GB2312" w:cs="仿宋_GB2312"/>
          <w:bCs/>
          <w:color w:val="auto"/>
          <w:kern w:val="2"/>
          <w:sz w:val="32"/>
          <w:szCs w:val="32"/>
          <w:highlight w:val="none"/>
        </w:rPr>
        <w:t>，具体见</w:t>
      </w:r>
      <w:r>
        <w:rPr>
          <w:rFonts w:hint="eastAsia" w:ascii="仿宋_GB2312" w:hAnsi="仿宋_GB2312" w:eastAsia="仿宋_GB2312" w:cs="仿宋_GB2312"/>
          <w:bCs/>
          <w:color w:val="auto"/>
          <w:kern w:val="2"/>
          <w:sz w:val="32"/>
          <w:szCs w:val="32"/>
          <w:highlight w:val="none"/>
          <w:lang w:val="en-US" w:eastAsia="zh-CN"/>
        </w:rPr>
        <w:t>7</w:t>
      </w:r>
      <w:r>
        <w:rPr>
          <w:rFonts w:hint="eastAsia" w:ascii="仿宋_GB2312" w:hAnsi="仿宋_GB2312" w:eastAsia="仿宋_GB2312" w:cs="仿宋_GB2312"/>
          <w:bCs/>
          <w:color w:val="auto"/>
          <w:kern w:val="2"/>
          <w:sz w:val="32"/>
          <w:szCs w:val="32"/>
          <w:highlight w:val="none"/>
        </w:rPr>
        <w:t>章；</w:t>
      </w:r>
    </w:p>
    <w:p>
      <w:pPr>
        <w:pStyle w:val="23"/>
        <w:keepNext w:val="0"/>
        <w:keepLines w:val="0"/>
        <w:pageBreakBefore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rPr>
          <w:rFonts w:hint="eastAsia" w:ascii="仿宋_GB2312" w:hAnsi="仿宋_GB2312" w:eastAsia="仿宋_GB2312" w:cs="仿宋_GB2312"/>
          <w:bCs/>
          <w:color w:val="auto"/>
          <w:kern w:val="2"/>
          <w:sz w:val="32"/>
          <w:szCs w:val="32"/>
          <w:highlight w:val="none"/>
        </w:rPr>
      </w:pPr>
      <w:r>
        <w:rPr>
          <w:rFonts w:hint="eastAsia" w:ascii="仿宋_GB2312" w:hAnsi="仿宋_GB2312" w:eastAsia="仿宋_GB2312" w:cs="仿宋_GB2312"/>
          <w:bCs/>
          <w:color w:val="auto"/>
          <w:kern w:val="2"/>
          <w:sz w:val="32"/>
          <w:szCs w:val="32"/>
          <w:highlight w:val="none"/>
        </w:rPr>
        <w:t>R</w:t>
      </w:r>
      <w:r>
        <w:rPr>
          <w:rFonts w:hint="eastAsia" w:ascii="仿宋_GB2312" w:hAnsi="仿宋_GB2312" w:eastAsia="仿宋_GB2312" w:cs="仿宋_GB2312"/>
          <w:bCs/>
          <w:color w:val="auto"/>
          <w:kern w:val="2"/>
          <w:sz w:val="32"/>
          <w:szCs w:val="32"/>
          <w:highlight w:val="none"/>
          <w:vertAlign w:val="subscript"/>
          <w:lang w:eastAsia="zh-CN"/>
        </w:rPr>
        <w:t>分摊</w:t>
      </w:r>
      <w:r>
        <w:rPr>
          <w:rFonts w:hint="eastAsia" w:ascii="仿宋_GB2312" w:hAnsi="仿宋_GB2312" w:eastAsia="仿宋_GB2312" w:cs="仿宋_GB2312"/>
          <w:bCs/>
          <w:color w:val="auto"/>
          <w:kern w:val="2"/>
          <w:sz w:val="32"/>
          <w:szCs w:val="32"/>
          <w:highlight w:val="none"/>
        </w:rPr>
        <w:t>为机组</w:t>
      </w:r>
      <w:r>
        <w:rPr>
          <w:rFonts w:hint="eastAsia" w:ascii="仿宋_GB2312" w:hAnsi="仿宋_GB2312" w:eastAsia="仿宋_GB2312" w:cs="仿宋_GB2312"/>
          <w:bCs/>
          <w:color w:val="auto"/>
          <w:kern w:val="2"/>
          <w:sz w:val="32"/>
          <w:szCs w:val="32"/>
          <w:highlight w:val="none"/>
          <w:lang w:eastAsia="zh-CN"/>
        </w:rPr>
        <w:t>承担的各类分摊电费</w:t>
      </w:r>
      <w:r>
        <w:rPr>
          <w:rFonts w:hint="eastAsia" w:ascii="仿宋_GB2312" w:hAnsi="仿宋_GB2312" w:eastAsia="仿宋_GB2312" w:cs="仿宋_GB2312"/>
          <w:bCs/>
          <w:color w:val="auto"/>
          <w:kern w:val="2"/>
          <w:sz w:val="32"/>
          <w:szCs w:val="32"/>
          <w:highlight w:val="none"/>
        </w:rPr>
        <w:t>，具体见</w:t>
      </w:r>
      <w:r>
        <w:rPr>
          <w:rFonts w:hint="eastAsia" w:ascii="仿宋_GB2312" w:hAnsi="仿宋_GB2312" w:eastAsia="仿宋_GB2312" w:cs="仿宋_GB2312"/>
          <w:bCs/>
          <w:color w:val="auto"/>
          <w:kern w:val="2"/>
          <w:sz w:val="32"/>
          <w:szCs w:val="32"/>
          <w:highlight w:val="none"/>
          <w:lang w:val="en-US" w:eastAsia="zh-CN"/>
        </w:rPr>
        <w:t>7</w:t>
      </w:r>
      <w:r>
        <w:rPr>
          <w:rFonts w:hint="eastAsia" w:ascii="仿宋_GB2312" w:hAnsi="仿宋_GB2312" w:eastAsia="仿宋_GB2312" w:cs="仿宋_GB2312"/>
          <w:bCs/>
          <w:color w:val="auto"/>
          <w:kern w:val="2"/>
          <w:sz w:val="32"/>
          <w:szCs w:val="32"/>
          <w:highlight w:val="none"/>
        </w:rPr>
        <w:t>章。</w:t>
      </w:r>
    </w:p>
    <w:p>
      <w:pPr>
        <w:pStyle w:val="23"/>
        <w:keepNext w:val="0"/>
        <w:keepLines w:val="0"/>
        <w:pageBreakBefore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rPr>
        <w:t>跨省不平衡资金</w:t>
      </w:r>
      <w:r>
        <w:rPr>
          <w:rFonts w:hint="eastAsia" w:ascii="仿宋_GB2312" w:hAnsi="仿宋_GB2312" w:eastAsia="仿宋_GB2312" w:cs="仿宋_GB2312"/>
          <w:color w:val="auto"/>
          <w:sz w:val="32"/>
          <w:szCs w:val="32"/>
          <w:highlight w:val="none"/>
          <w:vertAlign w:val="subscript"/>
        </w:rPr>
        <w:t>（省内）</w:t>
      </w:r>
      <w:r>
        <w:rPr>
          <w:rFonts w:hint="eastAsia" w:ascii="仿宋_GB2312" w:hAnsi="仿宋_GB2312" w:eastAsia="仿宋_GB2312" w:cs="仿宋_GB2312"/>
          <w:bCs/>
          <w:color w:val="auto"/>
          <w:sz w:val="32"/>
          <w:szCs w:val="32"/>
          <w:highlight w:val="none"/>
        </w:rPr>
        <w:t>为</w:t>
      </w:r>
      <w:r>
        <w:rPr>
          <w:rFonts w:hint="eastAsia" w:ascii="仿宋_GB2312" w:hAnsi="仿宋_GB2312" w:eastAsia="仿宋_GB2312" w:cs="仿宋_GB2312"/>
          <w:bCs/>
          <w:color w:val="auto"/>
          <w:sz w:val="32"/>
          <w:szCs w:val="32"/>
          <w:highlight w:val="none"/>
          <w:lang w:eastAsia="zh-CN"/>
        </w:rPr>
        <w:t>经营主体</w:t>
      </w:r>
      <w:r>
        <w:rPr>
          <w:rFonts w:hint="eastAsia" w:ascii="仿宋_GB2312" w:hAnsi="仿宋_GB2312" w:eastAsia="仿宋_GB2312" w:cs="仿宋_GB2312"/>
          <w:bCs/>
          <w:color w:val="auto"/>
          <w:sz w:val="32"/>
          <w:szCs w:val="32"/>
          <w:highlight w:val="none"/>
        </w:rPr>
        <w:t>需承担的跨省结算不平衡资金分摊或分享费用；详见</w:t>
      </w:r>
      <w:r>
        <w:rPr>
          <w:rFonts w:hint="eastAsia" w:ascii="仿宋_GB2312" w:hAnsi="仿宋_GB2312" w:eastAsia="仿宋_GB2312" w:cs="仿宋_GB2312"/>
          <w:bCs/>
          <w:color w:val="auto"/>
          <w:sz w:val="32"/>
          <w:szCs w:val="32"/>
          <w:highlight w:val="none"/>
          <w:lang w:val="en-US" w:eastAsia="zh-CN"/>
        </w:rPr>
        <w:t>7.4.1</w:t>
      </w:r>
      <w:r>
        <w:rPr>
          <w:rFonts w:hint="eastAsia" w:ascii="仿宋_GB2312" w:hAnsi="仿宋_GB2312" w:eastAsia="仿宋_GB2312" w:cs="仿宋_GB2312"/>
          <w:bCs/>
          <w:color w:val="auto"/>
          <w:sz w:val="32"/>
          <w:szCs w:val="32"/>
          <w:highlight w:val="none"/>
        </w:rPr>
        <w:t>；</w:t>
      </w:r>
    </w:p>
    <w:p>
      <w:pPr>
        <w:pStyle w:val="67"/>
        <w:keepNext w:val="0"/>
        <w:keepLines w:val="0"/>
        <w:pageBreakBefore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中长期合约电费结算</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发电侧按照机组中长期合约分时电量和合约电价计算中长期合约电费。公式为：</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highlight w:val="none"/>
          <w:vertAlign w:val="subscript"/>
        </w:rPr>
      </w:pP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rPr>
        <w:t>中长期合约</w:t>
      </w:r>
      <w:r>
        <w:rPr>
          <w:rFonts w:hint="eastAsia" w:ascii="仿宋_GB2312" w:hAnsi="仿宋_GB2312" w:eastAsia="仿宋_GB2312" w:cs="仿宋_GB2312"/>
          <w:bCs/>
          <w:color w:val="auto"/>
          <w:sz w:val="32"/>
          <w:szCs w:val="32"/>
          <w:highlight w:val="none"/>
        </w:rPr>
        <w:t>=Σ（Q</w:t>
      </w:r>
      <w:r>
        <w:rPr>
          <w:rFonts w:hint="eastAsia" w:ascii="仿宋_GB2312" w:hAnsi="仿宋_GB2312" w:eastAsia="仿宋_GB2312" w:cs="仿宋_GB2312"/>
          <w:bCs/>
          <w:color w:val="auto"/>
          <w:sz w:val="32"/>
          <w:szCs w:val="32"/>
          <w:highlight w:val="none"/>
          <w:vertAlign w:val="subscript"/>
        </w:rPr>
        <w:t>中长期合约,t</w:t>
      </w: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bCs/>
          <w:color w:val="auto"/>
          <w:sz w:val="32"/>
          <w:szCs w:val="32"/>
          <w:highlight w:val="none"/>
          <w:vertAlign w:val="subscript"/>
        </w:rPr>
        <w:t>中长期</w:t>
      </w:r>
      <w:r>
        <w:rPr>
          <w:rFonts w:hint="eastAsia" w:ascii="仿宋_GB2312" w:hAnsi="仿宋_GB2312" w:eastAsia="仿宋_GB2312" w:cs="仿宋_GB2312"/>
          <w:color w:val="auto"/>
          <w:sz w:val="32"/>
          <w:szCs w:val="32"/>
          <w:highlight w:val="none"/>
          <w:vertAlign w:val="subscript"/>
        </w:rPr>
        <w:t>合约</w:t>
      </w:r>
      <w:r>
        <w:rPr>
          <w:rFonts w:hint="eastAsia" w:ascii="仿宋_GB2312" w:hAnsi="仿宋_GB2312" w:eastAsia="仿宋_GB2312" w:cs="仿宋_GB2312"/>
          <w:bCs/>
          <w:color w:val="auto"/>
          <w:sz w:val="32"/>
          <w:szCs w:val="32"/>
          <w:highlight w:val="none"/>
          <w:vertAlign w:val="subscript"/>
        </w:rPr>
        <w:t>,t</w:t>
      </w:r>
      <w:r>
        <w:rPr>
          <w:rFonts w:hint="eastAsia" w:ascii="仿宋_GB2312" w:hAnsi="仿宋_GB2312" w:eastAsia="仿宋_GB2312" w:cs="仿宋_GB2312"/>
          <w:bCs/>
          <w:color w:val="auto"/>
          <w:sz w:val="32"/>
          <w:szCs w:val="32"/>
          <w:highlight w:val="none"/>
        </w:rPr>
        <w:t>）</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strike/>
          <w:color w:val="auto"/>
          <w:sz w:val="32"/>
          <w:szCs w:val="32"/>
          <w:highlight w:val="none"/>
        </w:rPr>
      </w:pPr>
      <w:r>
        <w:rPr>
          <w:rFonts w:hint="eastAsia" w:ascii="仿宋_GB2312" w:hAnsi="仿宋_GB2312" w:eastAsia="仿宋_GB2312" w:cs="仿宋_GB2312"/>
          <w:bCs/>
          <w:color w:val="auto"/>
          <w:sz w:val="32"/>
          <w:szCs w:val="32"/>
          <w:highlight w:val="none"/>
        </w:rPr>
        <w:t>其中：</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rPr>
        <w:t>中长期合约</w:t>
      </w:r>
      <w:r>
        <w:rPr>
          <w:rFonts w:hint="eastAsia" w:ascii="仿宋_GB2312" w:hAnsi="仿宋_GB2312" w:eastAsia="仿宋_GB2312" w:cs="仿宋_GB2312"/>
          <w:bCs/>
          <w:color w:val="auto"/>
          <w:sz w:val="32"/>
          <w:szCs w:val="32"/>
          <w:highlight w:val="none"/>
        </w:rPr>
        <w:t>为机组中长期合约</w:t>
      </w:r>
      <w:r>
        <w:rPr>
          <w:rFonts w:hint="eastAsia" w:ascii="仿宋_GB2312" w:hAnsi="仿宋_GB2312" w:eastAsia="仿宋_GB2312" w:cs="仿宋_GB2312"/>
          <w:b w:val="0"/>
          <w:bCs w:val="0"/>
          <w:color w:val="auto"/>
          <w:kern w:val="2"/>
          <w:sz w:val="32"/>
          <w:szCs w:val="32"/>
          <w:highlight w:val="none"/>
          <w:lang w:val="zh-CN"/>
        </w:rPr>
        <w:t>电能量</w:t>
      </w:r>
      <w:r>
        <w:rPr>
          <w:rFonts w:hint="eastAsia" w:ascii="仿宋_GB2312" w:hAnsi="仿宋_GB2312" w:eastAsia="仿宋_GB2312" w:cs="仿宋_GB2312"/>
          <w:bCs/>
          <w:color w:val="auto"/>
          <w:sz w:val="32"/>
          <w:szCs w:val="32"/>
          <w:highlight w:val="none"/>
        </w:rPr>
        <w:t>电费；</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bCs/>
          <w:color w:val="auto"/>
          <w:sz w:val="32"/>
          <w:szCs w:val="32"/>
          <w:highlight w:val="none"/>
          <w:vertAlign w:val="subscript"/>
        </w:rPr>
        <w:t>中长期合约,t</w:t>
      </w:r>
      <w:r>
        <w:rPr>
          <w:rFonts w:hint="eastAsia" w:ascii="仿宋_GB2312" w:hAnsi="仿宋_GB2312" w:eastAsia="仿宋_GB2312" w:cs="仿宋_GB2312"/>
          <w:bCs/>
          <w:color w:val="auto"/>
          <w:sz w:val="32"/>
          <w:szCs w:val="32"/>
          <w:highlight w:val="none"/>
        </w:rPr>
        <w:t>为机组T时段中长期合约电量（包括省间中长期合约、省内中长期合约、电网代理购电中长期合约，下同）；</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bCs/>
          <w:color w:val="auto"/>
          <w:sz w:val="32"/>
          <w:szCs w:val="32"/>
          <w:highlight w:val="none"/>
          <w:vertAlign w:val="subscript"/>
        </w:rPr>
        <w:t>中长期合约,t</w:t>
      </w:r>
      <w:r>
        <w:rPr>
          <w:rFonts w:hint="eastAsia" w:ascii="仿宋_GB2312" w:hAnsi="仿宋_GB2312" w:eastAsia="仿宋_GB2312" w:cs="仿宋_GB2312"/>
          <w:bCs/>
          <w:color w:val="auto"/>
          <w:sz w:val="32"/>
          <w:szCs w:val="32"/>
          <w:highlight w:val="none"/>
        </w:rPr>
        <w:t>为机组T时段中长期合约电价（包括省间中长期合约、省内中长期合约、电网代理购电中长期合约）。</w:t>
      </w:r>
    </w:p>
    <w:p>
      <w:pPr>
        <w:pStyle w:val="67"/>
        <w:keepNext w:val="0"/>
        <w:keepLines w:val="0"/>
        <w:pageBreakBefore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日前市场偏差结算</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机组根据日前市场出清电量与中长期合约电量之间的差额，以日前市场节点电价计算偏差电费。公式为：</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rPr>
        <w:t xml:space="preserve">日前 </w:t>
      </w:r>
      <w:r>
        <w:rPr>
          <w:rFonts w:hint="eastAsia" w:ascii="仿宋_GB2312" w:hAnsi="仿宋_GB2312" w:eastAsia="仿宋_GB2312" w:cs="仿宋_GB2312"/>
          <w:bCs/>
          <w:color w:val="auto"/>
          <w:sz w:val="32"/>
          <w:szCs w:val="32"/>
          <w:highlight w:val="none"/>
        </w:rPr>
        <w:t>=Σ[(Q</w:t>
      </w:r>
      <w:r>
        <w:rPr>
          <w:rFonts w:hint="eastAsia" w:ascii="仿宋_GB2312" w:hAnsi="仿宋_GB2312" w:eastAsia="仿宋_GB2312" w:cs="仿宋_GB2312"/>
          <w:bCs/>
          <w:color w:val="auto"/>
          <w:sz w:val="32"/>
          <w:szCs w:val="32"/>
          <w:highlight w:val="none"/>
          <w:vertAlign w:val="subscript"/>
        </w:rPr>
        <w:t>日前,t</w:t>
      </w:r>
      <w:r>
        <w:rPr>
          <w:rFonts w:hint="eastAsia" w:ascii="仿宋_GB2312" w:hAnsi="仿宋_GB2312" w:eastAsia="仿宋_GB2312" w:cs="仿宋_GB2312"/>
          <w:bCs/>
          <w:color w:val="auto"/>
          <w:sz w:val="32"/>
          <w:szCs w:val="32"/>
          <w:highlight w:val="none"/>
        </w:rPr>
        <w:t>－ΣQ</w:t>
      </w:r>
      <w:r>
        <w:rPr>
          <w:rFonts w:hint="eastAsia" w:ascii="仿宋_GB2312" w:hAnsi="仿宋_GB2312" w:eastAsia="仿宋_GB2312" w:cs="仿宋_GB2312"/>
          <w:bCs/>
          <w:color w:val="auto"/>
          <w:sz w:val="32"/>
          <w:szCs w:val="32"/>
          <w:highlight w:val="none"/>
          <w:vertAlign w:val="subscript"/>
          <w:lang w:eastAsia="zh-CN"/>
        </w:rPr>
        <w:t>省内</w:t>
      </w:r>
      <w:r>
        <w:rPr>
          <w:rFonts w:hint="eastAsia" w:ascii="仿宋_GB2312" w:hAnsi="仿宋_GB2312" w:eastAsia="仿宋_GB2312" w:cs="仿宋_GB2312"/>
          <w:bCs/>
          <w:color w:val="auto"/>
          <w:sz w:val="32"/>
          <w:szCs w:val="32"/>
          <w:highlight w:val="none"/>
          <w:vertAlign w:val="subscript"/>
        </w:rPr>
        <w:t>中长期合约,t</w:t>
      </w:r>
      <w:r>
        <w:rPr>
          <w:rFonts w:hint="eastAsia" w:ascii="仿宋_GB2312" w:hAnsi="仿宋_GB2312" w:eastAsia="仿宋_GB2312" w:cs="仿宋_GB2312"/>
          <w:bCs/>
          <w:color w:val="auto"/>
          <w:sz w:val="32"/>
          <w:szCs w:val="32"/>
          <w:highlight w:val="none"/>
          <w:lang w:val="en-US" w:eastAsia="zh-CN"/>
        </w:rPr>
        <w:t>)</w:t>
      </w: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bCs/>
          <w:color w:val="auto"/>
          <w:sz w:val="32"/>
          <w:szCs w:val="32"/>
          <w:highlight w:val="none"/>
          <w:vertAlign w:val="subscript"/>
        </w:rPr>
        <w:t>日前,t</w:t>
      </w:r>
      <w:r>
        <w:rPr>
          <w:rFonts w:hint="eastAsia" w:ascii="仿宋_GB2312" w:hAnsi="仿宋_GB2312" w:eastAsia="仿宋_GB2312" w:cs="仿宋_GB2312"/>
          <w:bCs/>
          <w:color w:val="auto"/>
          <w:sz w:val="32"/>
          <w:szCs w:val="32"/>
          <w:highlight w:val="none"/>
        </w:rPr>
        <w:t>]</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其中：</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rPr>
        <w:t>日前</w:t>
      </w:r>
      <w:r>
        <w:rPr>
          <w:rFonts w:hint="eastAsia" w:ascii="仿宋_GB2312" w:hAnsi="仿宋_GB2312" w:eastAsia="仿宋_GB2312" w:cs="仿宋_GB2312"/>
          <w:bCs/>
          <w:color w:val="auto"/>
          <w:sz w:val="32"/>
          <w:szCs w:val="32"/>
          <w:highlight w:val="none"/>
        </w:rPr>
        <w:t>为机组日前市场偏差</w:t>
      </w:r>
      <w:r>
        <w:rPr>
          <w:rFonts w:hint="eastAsia" w:ascii="仿宋_GB2312" w:hAnsi="仿宋_GB2312" w:eastAsia="仿宋_GB2312" w:cs="仿宋_GB2312"/>
          <w:b w:val="0"/>
          <w:bCs w:val="0"/>
          <w:color w:val="auto"/>
          <w:kern w:val="2"/>
          <w:sz w:val="32"/>
          <w:szCs w:val="32"/>
          <w:highlight w:val="none"/>
          <w:lang w:val="zh-CN"/>
        </w:rPr>
        <w:t>电能量</w:t>
      </w:r>
      <w:r>
        <w:rPr>
          <w:rFonts w:hint="eastAsia" w:ascii="仿宋_GB2312" w:hAnsi="仿宋_GB2312" w:eastAsia="仿宋_GB2312" w:cs="仿宋_GB2312"/>
          <w:bCs/>
          <w:color w:val="auto"/>
          <w:sz w:val="32"/>
          <w:szCs w:val="32"/>
          <w:highlight w:val="none"/>
        </w:rPr>
        <w:t>电费；</w:t>
      </w:r>
    </w:p>
    <w:p>
      <w:pPr>
        <w:pStyle w:val="35"/>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color w:val="auto"/>
          <w:sz w:val="32"/>
          <w:szCs w:val="32"/>
          <w:highlight w:val="none"/>
        </w:rPr>
        <w:t>Q</w:t>
      </w:r>
      <w:r>
        <w:rPr>
          <w:rFonts w:hint="eastAsia" w:ascii="仿宋_GB2312" w:hAnsi="仿宋_GB2312" w:eastAsia="仿宋_GB2312" w:cs="仿宋_GB2312"/>
          <w:color w:val="auto"/>
          <w:sz w:val="32"/>
          <w:szCs w:val="32"/>
          <w:highlight w:val="none"/>
          <w:vertAlign w:val="subscript"/>
        </w:rPr>
        <w:t>日前，t</w:t>
      </w:r>
      <w:r>
        <w:rPr>
          <w:rFonts w:hint="eastAsia" w:ascii="仿宋_GB2312" w:hAnsi="仿宋_GB2312" w:eastAsia="仿宋_GB2312" w:cs="仿宋_GB2312"/>
          <w:bCs/>
          <w:color w:val="auto"/>
          <w:sz w:val="32"/>
          <w:szCs w:val="32"/>
          <w:highlight w:val="none"/>
        </w:rPr>
        <w:t>为机组日前市场T时段出清电量；</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bCs/>
          <w:color w:val="auto"/>
          <w:sz w:val="32"/>
          <w:szCs w:val="32"/>
          <w:highlight w:val="none"/>
          <w:vertAlign w:val="subscript"/>
        </w:rPr>
        <w:t>中长期合约,t</w:t>
      </w:r>
      <w:r>
        <w:rPr>
          <w:rFonts w:hint="eastAsia" w:ascii="仿宋_GB2312" w:hAnsi="仿宋_GB2312" w:eastAsia="仿宋_GB2312" w:cs="仿宋_GB2312"/>
          <w:bCs/>
          <w:color w:val="auto"/>
          <w:sz w:val="32"/>
          <w:szCs w:val="32"/>
          <w:highlight w:val="none"/>
        </w:rPr>
        <w:t>为机组T时段中长期合约电量；</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bCs/>
          <w:color w:val="auto"/>
          <w:sz w:val="32"/>
          <w:szCs w:val="32"/>
          <w:highlight w:val="none"/>
          <w:vertAlign w:val="subscript"/>
        </w:rPr>
        <w:t>日前,t</w:t>
      </w:r>
      <w:r>
        <w:rPr>
          <w:rFonts w:hint="eastAsia" w:ascii="仿宋_GB2312" w:hAnsi="仿宋_GB2312" w:eastAsia="仿宋_GB2312" w:cs="仿宋_GB2312"/>
          <w:bCs/>
          <w:color w:val="auto"/>
          <w:sz w:val="32"/>
          <w:szCs w:val="32"/>
          <w:highlight w:val="none"/>
        </w:rPr>
        <w:t>为机组所在节点日前市场T时段结算电价。</w:t>
      </w:r>
    </w:p>
    <w:p>
      <w:pPr>
        <w:pStyle w:val="67"/>
        <w:keepNext w:val="0"/>
        <w:keepLines w:val="0"/>
        <w:pageBreakBefore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实时市场偏差结算</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发电侧根据机组实际分时上网电量与日前市场出清的分时电量之间的差额，以及实时市场节点结算电价计算偏差电费。公式为：</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rPr>
        <w:t xml:space="preserve">实时 </w:t>
      </w:r>
      <w:r>
        <w:rPr>
          <w:rFonts w:hint="eastAsia" w:ascii="仿宋_GB2312" w:hAnsi="仿宋_GB2312" w:eastAsia="仿宋_GB2312" w:cs="仿宋_GB2312"/>
          <w:bCs/>
          <w:color w:val="auto"/>
          <w:sz w:val="32"/>
          <w:szCs w:val="32"/>
          <w:highlight w:val="none"/>
        </w:rPr>
        <w:t>=Σ[（Q</w:t>
      </w:r>
      <w:r>
        <w:rPr>
          <w:rFonts w:hint="eastAsia" w:ascii="仿宋_GB2312" w:hAnsi="仿宋_GB2312" w:eastAsia="仿宋_GB2312" w:cs="仿宋_GB2312"/>
          <w:color w:val="auto"/>
          <w:sz w:val="32"/>
          <w:szCs w:val="32"/>
          <w:highlight w:val="none"/>
          <w:vertAlign w:val="subscript"/>
        </w:rPr>
        <w:t>实时</w:t>
      </w:r>
      <w:r>
        <w:rPr>
          <w:rFonts w:hint="eastAsia" w:ascii="仿宋_GB2312" w:hAnsi="仿宋_GB2312" w:eastAsia="仿宋_GB2312" w:cs="仿宋_GB2312"/>
          <w:bCs/>
          <w:color w:val="auto"/>
          <w:sz w:val="32"/>
          <w:szCs w:val="32"/>
          <w:highlight w:val="none"/>
          <w:vertAlign w:val="subscript"/>
        </w:rPr>
        <w:t>,t</w:t>
      </w: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color w:val="auto"/>
          <w:sz w:val="32"/>
          <w:szCs w:val="32"/>
          <w:highlight w:val="none"/>
          <w:vertAlign w:val="subscript"/>
        </w:rPr>
        <w:t>日前</w:t>
      </w:r>
      <w:r>
        <w:rPr>
          <w:rFonts w:hint="eastAsia" w:ascii="仿宋_GB2312" w:hAnsi="仿宋_GB2312" w:eastAsia="仿宋_GB2312" w:cs="仿宋_GB2312"/>
          <w:bCs/>
          <w:color w:val="auto"/>
          <w:sz w:val="32"/>
          <w:szCs w:val="32"/>
          <w:highlight w:val="none"/>
          <w:vertAlign w:val="subscript"/>
        </w:rPr>
        <w:t>,t</w:t>
      </w: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bCs/>
          <w:color w:val="auto"/>
          <w:sz w:val="32"/>
          <w:szCs w:val="32"/>
          <w:highlight w:val="none"/>
          <w:vertAlign w:val="subscript"/>
        </w:rPr>
        <w:t>实时,t</w:t>
      </w:r>
      <w:r>
        <w:rPr>
          <w:rFonts w:hint="eastAsia" w:ascii="仿宋_GB2312" w:hAnsi="仿宋_GB2312" w:eastAsia="仿宋_GB2312" w:cs="仿宋_GB2312"/>
          <w:bCs/>
          <w:color w:val="auto"/>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其中：</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rPr>
        <w:t>实时</w:t>
      </w:r>
      <w:r>
        <w:rPr>
          <w:rFonts w:hint="eastAsia" w:ascii="仿宋_GB2312" w:hAnsi="仿宋_GB2312" w:eastAsia="仿宋_GB2312" w:cs="仿宋_GB2312"/>
          <w:bCs/>
          <w:color w:val="auto"/>
          <w:sz w:val="32"/>
          <w:szCs w:val="32"/>
          <w:highlight w:val="none"/>
        </w:rPr>
        <w:t>为机组实时市场偏差电能量电费；</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bCs/>
          <w:color w:val="auto"/>
          <w:sz w:val="32"/>
          <w:szCs w:val="32"/>
          <w:highlight w:val="none"/>
          <w:vertAlign w:val="subscript"/>
        </w:rPr>
        <w:t>实时</w:t>
      </w:r>
      <w:r>
        <w:rPr>
          <w:rFonts w:hint="eastAsia" w:ascii="仿宋_GB2312" w:hAnsi="仿宋_GB2312" w:eastAsia="仿宋_GB2312" w:cs="仿宋_GB2312"/>
          <w:color w:val="auto"/>
          <w:sz w:val="32"/>
          <w:szCs w:val="32"/>
          <w:highlight w:val="none"/>
          <w:vertAlign w:val="subscript"/>
        </w:rPr>
        <w:t>，t</w:t>
      </w:r>
      <w:r>
        <w:rPr>
          <w:rFonts w:hint="eastAsia" w:ascii="仿宋_GB2312" w:hAnsi="仿宋_GB2312" w:eastAsia="仿宋_GB2312" w:cs="仿宋_GB2312"/>
          <w:bCs/>
          <w:color w:val="auto"/>
          <w:sz w:val="32"/>
          <w:szCs w:val="32"/>
          <w:highlight w:val="none"/>
        </w:rPr>
        <w:t>为机组在T时段的上网电量，已扣减该时段的优先计划电量；</w:t>
      </w:r>
    </w:p>
    <w:p>
      <w:pPr>
        <w:pStyle w:val="35"/>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color w:val="auto"/>
          <w:sz w:val="32"/>
          <w:szCs w:val="32"/>
          <w:highlight w:val="none"/>
        </w:rPr>
        <w:t>Q</w:t>
      </w:r>
      <w:r>
        <w:rPr>
          <w:rFonts w:hint="eastAsia" w:ascii="仿宋_GB2312" w:hAnsi="仿宋_GB2312" w:eastAsia="仿宋_GB2312" w:cs="仿宋_GB2312"/>
          <w:color w:val="auto"/>
          <w:sz w:val="32"/>
          <w:szCs w:val="32"/>
          <w:highlight w:val="none"/>
          <w:vertAlign w:val="subscript"/>
        </w:rPr>
        <w:t>日前，t</w:t>
      </w:r>
      <w:r>
        <w:rPr>
          <w:rFonts w:hint="eastAsia" w:ascii="仿宋_GB2312" w:hAnsi="仿宋_GB2312" w:eastAsia="仿宋_GB2312" w:cs="仿宋_GB2312"/>
          <w:bCs/>
          <w:color w:val="auto"/>
          <w:sz w:val="32"/>
          <w:szCs w:val="32"/>
          <w:highlight w:val="none"/>
        </w:rPr>
        <w:t>为机组日前市场T时段出清电量；</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bCs/>
          <w:color w:val="auto"/>
          <w:sz w:val="32"/>
          <w:szCs w:val="32"/>
          <w:highlight w:val="none"/>
          <w:vertAlign w:val="subscript"/>
        </w:rPr>
        <w:t>实时,t</w:t>
      </w:r>
      <w:r>
        <w:rPr>
          <w:rFonts w:hint="eastAsia" w:ascii="仿宋_GB2312" w:hAnsi="仿宋_GB2312" w:eastAsia="仿宋_GB2312" w:cs="仿宋_GB2312"/>
          <w:bCs/>
          <w:color w:val="auto"/>
          <w:sz w:val="32"/>
          <w:szCs w:val="32"/>
          <w:highlight w:val="none"/>
        </w:rPr>
        <w:t>为机组所在节点实时市场T时段结算价格。</w:t>
      </w:r>
    </w:p>
    <w:p>
      <w:pPr>
        <w:pStyle w:val="67"/>
        <w:keepNext w:val="0"/>
        <w:keepLines w:val="0"/>
        <w:pageBreakBefore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中长期合约阻塞电费结算</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lang w:eastAsia="zh-CN"/>
        </w:rPr>
      </w:pPr>
      <w:r>
        <w:rPr>
          <w:rFonts w:hint="eastAsia" w:ascii="仿宋_GB2312" w:hAnsi="仿宋_GB2312" w:eastAsia="仿宋_GB2312" w:cs="仿宋_GB2312"/>
          <w:bCs/>
          <w:color w:val="auto"/>
          <w:sz w:val="32"/>
          <w:szCs w:val="32"/>
          <w:highlight w:val="none"/>
          <w:lang w:val="en-US" w:eastAsia="zh-CN"/>
        </w:rPr>
        <w:t>发</w:t>
      </w:r>
      <w:r>
        <w:rPr>
          <w:rFonts w:hint="eastAsia" w:ascii="仿宋_GB2312" w:hAnsi="仿宋_GB2312" w:eastAsia="仿宋_GB2312" w:cs="仿宋_GB2312"/>
          <w:bCs/>
          <w:color w:val="auto"/>
          <w:sz w:val="32"/>
          <w:szCs w:val="32"/>
          <w:highlight w:val="none"/>
        </w:rPr>
        <w:t>电侧中长期合约阻塞电费包括省内中长期合约阻塞电费和省间中长期合约阻塞电费。</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5.2.4.1省内中长期合约阻塞电费</w:t>
      </w:r>
    </w:p>
    <w:p>
      <w:pPr>
        <w:pStyle w:val="67"/>
        <w:keepNext w:val="0"/>
        <w:keepLines w:val="0"/>
        <w:pageBreakBefore w:val="0"/>
        <w:widowControl w:val="0"/>
        <w:numPr>
          <w:ilvl w:val="2"/>
          <w:numId w:val="0"/>
        </w:numPr>
        <w:kinsoku/>
        <w:wordWrap/>
        <w:overflowPunct/>
        <w:topLinePunct w:val="0"/>
        <w:autoSpaceDE/>
        <w:autoSpaceDN/>
        <w:bidi w:val="0"/>
        <w:adjustRightInd/>
        <w:snapToGrid/>
        <w:spacing w:line="560" w:lineRule="exact"/>
        <w:ind w:firstLine="640" w:firstLineChars="200"/>
        <w:outlineLvl w:val="2"/>
        <w:rPr>
          <w:rFonts w:hint="default"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eastAsia="zh-CN"/>
        </w:rPr>
        <w:t>省内中长期合约阻塞电费按照交易单元的省内中长期合约分时电量，以机组日前市场节点电价和日前市场用户侧统一结算点电价的差值产生的阻塞费用结算；</w:t>
      </w:r>
      <w:r>
        <w:rPr>
          <w:rFonts w:hint="eastAsia" w:ascii="仿宋_GB2312" w:hAnsi="仿宋_GB2312" w:eastAsia="仿宋_GB2312" w:cs="仿宋_GB2312"/>
          <w:bCs/>
          <w:color w:val="auto"/>
          <w:sz w:val="32"/>
          <w:szCs w:val="32"/>
          <w:highlight w:val="none"/>
          <w:lang w:val="en-US" w:eastAsia="zh-CN"/>
        </w:rPr>
        <w:t>各机组的年度、月度中长期合约（不含发电侧合同转让交易）阻塞费用不予单独结算，上述合同总阻塞费用由参与市场化交易的市场机组按实际月度结算上网电量比例分摊（分享）。各机组市场合同转让交易、多日（周）交易中长期合约阻塞费用单独结算至机组。</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lang w:eastAsia="zh-CN"/>
        </w:rPr>
        <w:t>省内</w:t>
      </w:r>
      <w:r>
        <w:rPr>
          <w:rFonts w:hint="eastAsia" w:ascii="仿宋_GB2312" w:hAnsi="仿宋_GB2312" w:eastAsia="仿宋_GB2312" w:cs="仿宋_GB2312"/>
          <w:color w:val="auto"/>
          <w:sz w:val="32"/>
          <w:szCs w:val="32"/>
          <w:highlight w:val="none"/>
          <w:vertAlign w:val="subscript"/>
        </w:rPr>
        <w:t>中长期合同阻塞</w:t>
      </w:r>
      <w:r>
        <w:rPr>
          <w:rFonts w:hint="eastAsia" w:ascii="仿宋_GB2312" w:hAnsi="仿宋_GB2312" w:eastAsia="仿宋_GB2312" w:cs="仿宋_GB2312"/>
          <w:color w:val="auto"/>
          <w:sz w:val="32"/>
          <w:szCs w:val="32"/>
          <w:highlight w:val="none"/>
        </w:rPr>
        <w:t>=Σ[Σ</w:t>
      </w: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bCs/>
          <w:color w:val="auto"/>
          <w:sz w:val="32"/>
          <w:szCs w:val="32"/>
          <w:highlight w:val="none"/>
          <w:vertAlign w:val="subscript"/>
          <w:lang w:eastAsia="zh-CN"/>
        </w:rPr>
        <w:t>省内</w:t>
      </w:r>
      <w:r>
        <w:rPr>
          <w:rFonts w:hint="eastAsia" w:ascii="仿宋_GB2312" w:hAnsi="仿宋_GB2312" w:eastAsia="仿宋_GB2312" w:cs="仿宋_GB2312"/>
          <w:color w:val="auto"/>
          <w:sz w:val="32"/>
          <w:szCs w:val="32"/>
          <w:highlight w:val="none"/>
          <w:vertAlign w:val="subscript"/>
        </w:rPr>
        <w:t>中长期合约,t</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color w:val="auto"/>
          <w:sz w:val="32"/>
          <w:szCs w:val="32"/>
          <w:highlight w:val="none"/>
          <w:vertAlign w:val="subscript"/>
        </w:rPr>
        <w:t>日前,t</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color w:val="auto"/>
          <w:sz w:val="32"/>
          <w:szCs w:val="32"/>
          <w:highlight w:val="none"/>
          <w:vertAlign w:val="subscript"/>
        </w:rPr>
        <w:t>日前统一,t</w:t>
      </w:r>
      <w:r>
        <w:rPr>
          <w:rFonts w:hint="eastAsia" w:ascii="仿宋_GB2312" w:hAnsi="仿宋_GB2312" w:eastAsia="仿宋_GB2312" w:cs="仿宋_GB2312"/>
          <w:color w:val="auto"/>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其中，</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lang w:eastAsia="zh-CN"/>
        </w:rPr>
        <w:t>省内</w:t>
      </w:r>
      <w:r>
        <w:rPr>
          <w:rFonts w:hint="eastAsia" w:ascii="仿宋_GB2312" w:hAnsi="仿宋_GB2312" w:eastAsia="仿宋_GB2312" w:cs="仿宋_GB2312"/>
          <w:color w:val="auto"/>
          <w:sz w:val="32"/>
          <w:szCs w:val="32"/>
          <w:highlight w:val="none"/>
          <w:vertAlign w:val="subscript"/>
        </w:rPr>
        <w:t>中长期合同阻塞</w:t>
      </w:r>
      <w:r>
        <w:rPr>
          <w:rFonts w:hint="eastAsia" w:ascii="仿宋_GB2312" w:hAnsi="仿宋_GB2312" w:eastAsia="仿宋_GB2312" w:cs="仿宋_GB2312"/>
          <w:color w:val="auto"/>
          <w:sz w:val="32"/>
          <w:szCs w:val="32"/>
          <w:highlight w:val="none"/>
        </w:rPr>
        <w:t>为</w:t>
      </w:r>
      <w:r>
        <w:rPr>
          <w:rFonts w:hint="eastAsia" w:ascii="仿宋_GB2312" w:hAnsi="仿宋_GB2312" w:eastAsia="仿宋_GB2312" w:cs="仿宋_GB2312"/>
          <w:bCs/>
          <w:color w:val="auto"/>
          <w:sz w:val="32"/>
          <w:szCs w:val="32"/>
          <w:highlight w:val="none"/>
        </w:rPr>
        <w:t>机组</w:t>
      </w:r>
      <w:r>
        <w:rPr>
          <w:rFonts w:hint="eastAsia" w:ascii="仿宋_GB2312" w:hAnsi="仿宋_GB2312" w:eastAsia="仿宋_GB2312" w:cs="仿宋_GB2312"/>
          <w:bCs/>
          <w:color w:val="auto"/>
          <w:sz w:val="32"/>
          <w:szCs w:val="32"/>
          <w:highlight w:val="none"/>
          <w:lang w:eastAsia="zh-CN"/>
        </w:rPr>
        <w:t>省内</w:t>
      </w:r>
      <w:r>
        <w:rPr>
          <w:rFonts w:hint="eastAsia" w:ascii="仿宋_GB2312" w:hAnsi="仿宋_GB2312" w:eastAsia="仿宋_GB2312" w:cs="仿宋_GB2312"/>
          <w:bCs/>
          <w:color w:val="auto"/>
          <w:sz w:val="32"/>
          <w:szCs w:val="32"/>
          <w:highlight w:val="none"/>
        </w:rPr>
        <w:t>中长期合约阻塞电费；</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bCs/>
          <w:color w:val="auto"/>
          <w:sz w:val="32"/>
          <w:szCs w:val="32"/>
          <w:highlight w:val="none"/>
          <w:vertAlign w:val="subscript"/>
          <w:lang w:eastAsia="zh-CN"/>
        </w:rPr>
        <w:t>省内</w:t>
      </w:r>
      <w:r>
        <w:rPr>
          <w:rFonts w:hint="eastAsia" w:ascii="仿宋_GB2312" w:hAnsi="仿宋_GB2312" w:eastAsia="仿宋_GB2312" w:cs="仿宋_GB2312"/>
          <w:bCs/>
          <w:color w:val="auto"/>
          <w:sz w:val="32"/>
          <w:szCs w:val="32"/>
          <w:highlight w:val="none"/>
          <w:vertAlign w:val="subscript"/>
        </w:rPr>
        <w:t>中长期合约,t</w:t>
      </w:r>
      <w:r>
        <w:rPr>
          <w:rFonts w:hint="eastAsia" w:ascii="仿宋_GB2312" w:hAnsi="仿宋_GB2312" w:eastAsia="仿宋_GB2312" w:cs="仿宋_GB2312"/>
          <w:bCs/>
          <w:color w:val="auto"/>
          <w:sz w:val="32"/>
          <w:szCs w:val="32"/>
          <w:highlight w:val="none"/>
        </w:rPr>
        <w:t>为机组T时段省内中长期合约电量；</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bCs/>
          <w:color w:val="auto"/>
          <w:sz w:val="32"/>
          <w:szCs w:val="32"/>
          <w:highlight w:val="none"/>
          <w:vertAlign w:val="subscript"/>
        </w:rPr>
        <w:t>日前,t</w:t>
      </w:r>
      <w:r>
        <w:rPr>
          <w:rFonts w:hint="eastAsia" w:ascii="仿宋_GB2312" w:hAnsi="仿宋_GB2312" w:eastAsia="仿宋_GB2312" w:cs="仿宋_GB2312"/>
          <w:bCs/>
          <w:color w:val="auto"/>
          <w:sz w:val="32"/>
          <w:szCs w:val="32"/>
          <w:highlight w:val="none"/>
        </w:rPr>
        <w:t>为机组所在节点日前市场T时段结算电价。</w:t>
      </w:r>
    </w:p>
    <w:p>
      <w:pPr>
        <w:pStyle w:val="38"/>
        <w:keepNext w:val="0"/>
        <w:keepLines w:val="0"/>
        <w:pageBreakBefore w:val="0"/>
        <w:numPr>
          <w:ilvl w:val="0"/>
          <w:numId w:val="0"/>
        </w:numPr>
        <w:tabs>
          <w:tab w:val="left" w:pos="540"/>
        </w:tabs>
        <w:kinsoku/>
        <w:wordWrap/>
        <w:overflowPunct/>
        <w:topLinePunct w:val="0"/>
        <w:autoSpaceDE/>
        <w:autoSpaceDN/>
        <w:bidi w:val="0"/>
        <w:adjustRightInd/>
        <w:snapToGrid/>
        <w:spacing w:beforeLines="0" w:line="560" w:lineRule="exact"/>
        <w:ind w:left="0" w:firstLine="640" w:firstLineChars="200"/>
        <w:textAlignment w:val="auto"/>
        <w:outlineLvl w:val="9"/>
        <w:rPr>
          <w:rFonts w:hint="eastAsia" w:ascii="仿宋_GB2312" w:hAnsi="仿宋_GB2312" w:eastAsia="仿宋_GB2312" w:cs="仿宋_GB2312"/>
          <w:b w:val="0"/>
          <w:bCs w:val="0"/>
          <w:color w:val="auto"/>
          <w:kern w:val="2"/>
          <w:sz w:val="32"/>
          <w:szCs w:val="32"/>
          <w:highlight w:val="none"/>
        </w:rPr>
      </w:pPr>
      <w:r>
        <w:rPr>
          <w:rFonts w:hint="eastAsia" w:ascii="仿宋_GB2312" w:hAnsi="仿宋_GB2312" w:eastAsia="仿宋_GB2312" w:cs="仿宋_GB2312"/>
          <w:b w:val="0"/>
          <w:bCs w:val="0"/>
          <w:color w:val="auto"/>
          <w:sz w:val="32"/>
          <w:szCs w:val="32"/>
          <w:highlight w:val="none"/>
        </w:rPr>
        <w:t>P</w:t>
      </w:r>
      <w:r>
        <w:rPr>
          <w:rFonts w:hint="eastAsia" w:ascii="仿宋_GB2312" w:hAnsi="仿宋_GB2312" w:eastAsia="仿宋_GB2312" w:cs="仿宋_GB2312"/>
          <w:b w:val="0"/>
          <w:bCs w:val="0"/>
          <w:color w:val="auto"/>
          <w:kern w:val="2"/>
          <w:sz w:val="32"/>
          <w:szCs w:val="32"/>
          <w:highlight w:val="none"/>
          <w:vertAlign w:val="subscript"/>
        </w:rPr>
        <w:t>日前统一,t</w:t>
      </w:r>
      <w:r>
        <w:rPr>
          <w:rFonts w:hint="eastAsia" w:ascii="仿宋_GB2312" w:hAnsi="仿宋_GB2312" w:eastAsia="仿宋_GB2312" w:cs="仿宋_GB2312"/>
          <w:b w:val="0"/>
          <w:bCs w:val="0"/>
          <w:color w:val="auto"/>
          <w:kern w:val="2"/>
          <w:sz w:val="32"/>
          <w:szCs w:val="32"/>
          <w:highlight w:val="none"/>
        </w:rPr>
        <w:t>为日前市场T时段统一结算点电价。</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5.2.4.2省间中长期合约阻塞电费</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lang w:eastAsia="zh-CN"/>
        </w:rPr>
      </w:pPr>
      <w:r>
        <w:rPr>
          <w:rFonts w:hint="eastAsia" w:ascii="仿宋_GB2312" w:hAnsi="仿宋_GB2312" w:eastAsia="仿宋_GB2312" w:cs="仿宋_GB2312"/>
          <w:bCs/>
          <w:color w:val="auto"/>
          <w:sz w:val="32"/>
          <w:szCs w:val="32"/>
          <w:highlight w:val="none"/>
          <w:lang w:eastAsia="zh-CN"/>
        </w:rPr>
        <w:t>省间中长期合约阻塞电费按照交易单元的省间中长期合约分时电量，以机组的日前市场节点电价和送端省（区）送出侧关口价格不同产生的阻塞费用单独结算。</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lang w:eastAsia="zh-CN"/>
        </w:rPr>
        <w:t>省内</w:t>
      </w:r>
      <w:r>
        <w:rPr>
          <w:rFonts w:hint="eastAsia" w:ascii="仿宋_GB2312" w:hAnsi="仿宋_GB2312" w:eastAsia="仿宋_GB2312" w:cs="仿宋_GB2312"/>
          <w:color w:val="auto"/>
          <w:sz w:val="32"/>
          <w:szCs w:val="32"/>
          <w:highlight w:val="none"/>
          <w:vertAlign w:val="subscript"/>
        </w:rPr>
        <w:t>中长期合同阻塞</w:t>
      </w:r>
      <w:r>
        <w:rPr>
          <w:rFonts w:hint="eastAsia" w:ascii="仿宋_GB2312" w:hAnsi="仿宋_GB2312" w:eastAsia="仿宋_GB2312" w:cs="仿宋_GB2312"/>
          <w:color w:val="auto"/>
          <w:sz w:val="32"/>
          <w:szCs w:val="32"/>
          <w:highlight w:val="none"/>
        </w:rPr>
        <w:t>=Σ[Σ</w:t>
      </w: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bCs/>
          <w:color w:val="auto"/>
          <w:sz w:val="32"/>
          <w:szCs w:val="32"/>
          <w:highlight w:val="none"/>
          <w:vertAlign w:val="subscript"/>
          <w:lang w:eastAsia="zh-CN"/>
        </w:rPr>
        <w:t>省间</w:t>
      </w:r>
      <w:r>
        <w:rPr>
          <w:rFonts w:hint="eastAsia" w:ascii="仿宋_GB2312" w:hAnsi="仿宋_GB2312" w:eastAsia="仿宋_GB2312" w:cs="仿宋_GB2312"/>
          <w:color w:val="auto"/>
          <w:sz w:val="32"/>
          <w:szCs w:val="32"/>
          <w:highlight w:val="none"/>
          <w:vertAlign w:val="subscript"/>
        </w:rPr>
        <w:t>中长期合约,t</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color w:val="auto"/>
          <w:sz w:val="32"/>
          <w:szCs w:val="32"/>
          <w:highlight w:val="none"/>
          <w:vertAlign w:val="subscript"/>
        </w:rPr>
        <w:t>日前,t</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color w:val="auto"/>
          <w:sz w:val="32"/>
          <w:szCs w:val="32"/>
          <w:highlight w:val="none"/>
          <w:vertAlign w:val="subscript"/>
          <w:lang w:eastAsia="zh-CN"/>
        </w:rPr>
        <w:t>送出侧关口日前</w:t>
      </w:r>
      <w:r>
        <w:rPr>
          <w:rFonts w:hint="eastAsia" w:ascii="仿宋_GB2312" w:hAnsi="仿宋_GB2312" w:eastAsia="仿宋_GB2312" w:cs="仿宋_GB2312"/>
          <w:color w:val="auto"/>
          <w:sz w:val="32"/>
          <w:szCs w:val="32"/>
          <w:highlight w:val="none"/>
          <w:vertAlign w:val="subscript"/>
        </w:rPr>
        <w:t>,t</w:t>
      </w:r>
      <w:r>
        <w:rPr>
          <w:rFonts w:hint="eastAsia" w:ascii="仿宋_GB2312" w:hAnsi="仿宋_GB2312" w:eastAsia="仿宋_GB2312" w:cs="仿宋_GB2312"/>
          <w:color w:val="auto"/>
          <w:sz w:val="32"/>
          <w:szCs w:val="32"/>
          <w:highlight w:val="none"/>
        </w:rPr>
        <w:t>）]</w:t>
      </w:r>
    </w:p>
    <w:p>
      <w:pPr>
        <w:pStyle w:val="38"/>
        <w:keepNext w:val="0"/>
        <w:keepLines w:val="0"/>
        <w:pageBreakBefore w:val="0"/>
        <w:numPr>
          <w:ilvl w:val="0"/>
          <w:numId w:val="0"/>
        </w:numPr>
        <w:tabs>
          <w:tab w:val="left" w:pos="540"/>
        </w:tabs>
        <w:kinsoku/>
        <w:wordWrap/>
        <w:overflowPunct/>
        <w:topLinePunct w:val="0"/>
        <w:autoSpaceDE/>
        <w:autoSpaceDN/>
        <w:bidi w:val="0"/>
        <w:adjustRightInd/>
        <w:snapToGrid/>
        <w:spacing w:beforeLines="0" w:line="560" w:lineRule="exact"/>
        <w:ind w:left="0" w:firstLine="640" w:firstLineChars="200"/>
        <w:textAlignment w:val="auto"/>
        <w:outlineLvl w:val="9"/>
        <w:rPr>
          <w:rFonts w:hint="eastAsia" w:ascii="仿宋_GB2312" w:hAnsi="仿宋_GB2312" w:eastAsia="仿宋_GB2312" w:cs="仿宋_GB2312"/>
          <w:b w:val="0"/>
          <w:bCs w:val="0"/>
          <w:color w:val="auto"/>
          <w:kern w:val="2"/>
          <w:sz w:val="32"/>
          <w:szCs w:val="32"/>
          <w:highlight w:val="none"/>
          <w:lang w:eastAsia="zh-CN"/>
        </w:rPr>
      </w:pPr>
      <w:r>
        <w:rPr>
          <w:rFonts w:hint="eastAsia" w:ascii="仿宋_GB2312" w:hAnsi="仿宋_GB2312" w:eastAsia="仿宋_GB2312" w:cs="仿宋_GB2312"/>
          <w:b w:val="0"/>
          <w:bCs w:val="0"/>
          <w:color w:val="auto"/>
          <w:kern w:val="2"/>
          <w:sz w:val="32"/>
          <w:szCs w:val="32"/>
          <w:highlight w:val="none"/>
          <w:lang w:eastAsia="zh-CN"/>
        </w:rPr>
        <w:t>其中：</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lang w:eastAsia="zh-CN"/>
        </w:rPr>
        <w:t>省间</w:t>
      </w:r>
      <w:r>
        <w:rPr>
          <w:rFonts w:hint="eastAsia" w:ascii="仿宋_GB2312" w:hAnsi="仿宋_GB2312" w:eastAsia="仿宋_GB2312" w:cs="仿宋_GB2312"/>
          <w:color w:val="auto"/>
          <w:sz w:val="32"/>
          <w:szCs w:val="32"/>
          <w:highlight w:val="none"/>
          <w:vertAlign w:val="subscript"/>
        </w:rPr>
        <w:t>中长期合同阻塞</w:t>
      </w:r>
      <w:r>
        <w:rPr>
          <w:rFonts w:hint="eastAsia" w:ascii="仿宋_GB2312" w:hAnsi="仿宋_GB2312" w:eastAsia="仿宋_GB2312" w:cs="仿宋_GB2312"/>
          <w:color w:val="auto"/>
          <w:sz w:val="32"/>
          <w:szCs w:val="32"/>
          <w:highlight w:val="none"/>
        </w:rPr>
        <w:t>为</w:t>
      </w:r>
      <w:r>
        <w:rPr>
          <w:rFonts w:hint="eastAsia" w:ascii="仿宋_GB2312" w:hAnsi="仿宋_GB2312" w:eastAsia="仿宋_GB2312" w:cs="仿宋_GB2312"/>
          <w:bCs/>
          <w:color w:val="auto"/>
          <w:sz w:val="32"/>
          <w:szCs w:val="32"/>
          <w:highlight w:val="none"/>
        </w:rPr>
        <w:t>机组</w:t>
      </w:r>
      <w:r>
        <w:rPr>
          <w:rFonts w:hint="eastAsia" w:ascii="仿宋_GB2312" w:hAnsi="仿宋_GB2312" w:eastAsia="仿宋_GB2312" w:cs="仿宋_GB2312"/>
          <w:bCs/>
          <w:color w:val="auto"/>
          <w:sz w:val="32"/>
          <w:szCs w:val="32"/>
          <w:highlight w:val="none"/>
          <w:lang w:eastAsia="zh-CN"/>
        </w:rPr>
        <w:t>省间</w:t>
      </w:r>
      <w:r>
        <w:rPr>
          <w:rFonts w:hint="eastAsia" w:ascii="仿宋_GB2312" w:hAnsi="仿宋_GB2312" w:eastAsia="仿宋_GB2312" w:cs="仿宋_GB2312"/>
          <w:bCs/>
          <w:color w:val="auto"/>
          <w:sz w:val="32"/>
          <w:szCs w:val="32"/>
          <w:highlight w:val="none"/>
        </w:rPr>
        <w:t>中长期合约阻塞电费；</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bCs/>
          <w:color w:val="auto"/>
          <w:sz w:val="32"/>
          <w:szCs w:val="32"/>
          <w:highlight w:val="none"/>
          <w:vertAlign w:val="subscript"/>
          <w:lang w:val="en-US" w:eastAsia="zh-CN"/>
        </w:rPr>
        <w:t>省间</w:t>
      </w:r>
      <w:r>
        <w:rPr>
          <w:rFonts w:hint="eastAsia" w:ascii="仿宋_GB2312" w:hAnsi="仿宋_GB2312" w:eastAsia="仿宋_GB2312" w:cs="仿宋_GB2312"/>
          <w:bCs/>
          <w:color w:val="auto"/>
          <w:sz w:val="32"/>
          <w:szCs w:val="32"/>
          <w:highlight w:val="none"/>
          <w:vertAlign w:val="subscript"/>
        </w:rPr>
        <w:t>中长期合约,t</w:t>
      </w:r>
      <w:r>
        <w:rPr>
          <w:rFonts w:hint="eastAsia" w:ascii="仿宋_GB2312" w:hAnsi="仿宋_GB2312" w:eastAsia="仿宋_GB2312" w:cs="仿宋_GB2312"/>
          <w:bCs/>
          <w:color w:val="auto"/>
          <w:sz w:val="32"/>
          <w:szCs w:val="32"/>
          <w:highlight w:val="none"/>
        </w:rPr>
        <w:t>为机组T时段省</w:t>
      </w:r>
      <w:r>
        <w:rPr>
          <w:rFonts w:hint="eastAsia" w:ascii="仿宋_GB2312" w:hAnsi="仿宋_GB2312" w:eastAsia="仿宋_GB2312" w:cs="仿宋_GB2312"/>
          <w:bCs/>
          <w:color w:val="auto"/>
          <w:sz w:val="32"/>
          <w:szCs w:val="32"/>
          <w:highlight w:val="none"/>
          <w:lang w:eastAsia="zh-CN"/>
        </w:rPr>
        <w:t>间</w:t>
      </w:r>
      <w:r>
        <w:rPr>
          <w:rFonts w:hint="eastAsia" w:ascii="仿宋_GB2312" w:hAnsi="仿宋_GB2312" w:eastAsia="仿宋_GB2312" w:cs="仿宋_GB2312"/>
          <w:bCs/>
          <w:color w:val="auto"/>
          <w:sz w:val="32"/>
          <w:szCs w:val="32"/>
          <w:highlight w:val="none"/>
        </w:rPr>
        <w:t>中长期合约电量；</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bCs/>
          <w:color w:val="auto"/>
          <w:sz w:val="32"/>
          <w:szCs w:val="32"/>
          <w:highlight w:val="none"/>
          <w:vertAlign w:val="subscript"/>
        </w:rPr>
        <w:t>日前,t</w:t>
      </w:r>
      <w:r>
        <w:rPr>
          <w:rFonts w:hint="eastAsia" w:ascii="仿宋_GB2312" w:hAnsi="仿宋_GB2312" w:eastAsia="仿宋_GB2312" w:cs="仿宋_GB2312"/>
          <w:bCs/>
          <w:color w:val="auto"/>
          <w:sz w:val="32"/>
          <w:szCs w:val="32"/>
          <w:highlight w:val="none"/>
        </w:rPr>
        <w:t>为机组所在节点日前市场T时段结算电价。</w:t>
      </w:r>
    </w:p>
    <w:p>
      <w:pPr>
        <w:pStyle w:val="38"/>
        <w:keepNext w:val="0"/>
        <w:keepLines w:val="0"/>
        <w:pageBreakBefore w:val="0"/>
        <w:numPr>
          <w:ilvl w:val="0"/>
          <w:numId w:val="0"/>
        </w:numPr>
        <w:tabs>
          <w:tab w:val="left" w:pos="540"/>
        </w:tabs>
        <w:kinsoku/>
        <w:wordWrap/>
        <w:overflowPunct/>
        <w:topLinePunct w:val="0"/>
        <w:autoSpaceDE/>
        <w:autoSpaceDN/>
        <w:bidi w:val="0"/>
        <w:adjustRightInd/>
        <w:snapToGrid/>
        <w:spacing w:beforeLines="0" w:line="560" w:lineRule="exact"/>
        <w:ind w:left="0" w:firstLine="640" w:firstLineChars="200"/>
        <w:textAlignment w:val="auto"/>
        <w:outlineLvl w:val="9"/>
        <w:rPr>
          <w:rFonts w:hint="eastAsia" w:ascii="仿宋_GB2312" w:hAnsi="仿宋_GB2312" w:eastAsia="仿宋_GB2312" w:cs="仿宋_GB2312"/>
          <w:b w:val="0"/>
          <w:bCs w:val="0"/>
          <w:color w:val="auto"/>
          <w:kern w:val="2"/>
          <w:sz w:val="32"/>
          <w:szCs w:val="32"/>
          <w:highlight w:val="none"/>
        </w:rPr>
      </w:pPr>
      <w:r>
        <w:rPr>
          <w:rFonts w:hint="eastAsia" w:ascii="仿宋_GB2312" w:hAnsi="仿宋_GB2312" w:eastAsia="仿宋_GB2312" w:cs="仿宋_GB2312"/>
          <w:b w:val="0"/>
          <w:bCs w:val="0"/>
          <w:color w:val="auto"/>
          <w:sz w:val="32"/>
          <w:szCs w:val="32"/>
          <w:highlight w:val="none"/>
        </w:rPr>
        <w:t>P</w:t>
      </w:r>
      <w:r>
        <w:rPr>
          <w:rFonts w:hint="eastAsia" w:ascii="仿宋_GB2312" w:hAnsi="仿宋_GB2312" w:eastAsia="仿宋_GB2312" w:cs="仿宋_GB2312"/>
          <w:b w:val="0"/>
          <w:bCs w:val="0"/>
          <w:color w:val="auto"/>
          <w:sz w:val="32"/>
          <w:szCs w:val="32"/>
          <w:highlight w:val="none"/>
          <w:vertAlign w:val="subscript"/>
          <w:lang w:eastAsia="zh-CN"/>
        </w:rPr>
        <w:t>送出侧关口日前</w:t>
      </w:r>
      <w:r>
        <w:rPr>
          <w:rFonts w:hint="eastAsia" w:ascii="仿宋_GB2312" w:hAnsi="仿宋_GB2312" w:eastAsia="仿宋_GB2312" w:cs="仿宋_GB2312"/>
          <w:b w:val="0"/>
          <w:bCs w:val="0"/>
          <w:color w:val="auto"/>
          <w:sz w:val="32"/>
          <w:szCs w:val="32"/>
          <w:highlight w:val="none"/>
          <w:vertAlign w:val="subscript"/>
        </w:rPr>
        <w:t>,t</w:t>
      </w:r>
      <w:r>
        <w:rPr>
          <w:rFonts w:hint="eastAsia" w:ascii="仿宋_GB2312" w:hAnsi="仿宋_GB2312" w:eastAsia="仿宋_GB2312" w:cs="仿宋_GB2312"/>
          <w:b w:val="0"/>
          <w:bCs w:val="0"/>
          <w:color w:val="auto"/>
          <w:kern w:val="2"/>
          <w:sz w:val="32"/>
          <w:szCs w:val="32"/>
          <w:highlight w:val="none"/>
        </w:rPr>
        <w:t>为</w:t>
      </w:r>
      <w:r>
        <w:rPr>
          <w:rFonts w:hint="eastAsia" w:ascii="仿宋_GB2312" w:hAnsi="仿宋_GB2312" w:eastAsia="仿宋_GB2312" w:cs="仿宋_GB2312"/>
          <w:b w:val="0"/>
          <w:bCs w:val="0"/>
          <w:color w:val="auto"/>
          <w:sz w:val="32"/>
          <w:szCs w:val="32"/>
          <w:highlight w:val="none"/>
          <w:vertAlign w:val="baseline"/>
          <w:lang w:eastAsia="zh-CN"/>
        </w:rPr>
        <w:t>对应的“网对网”送电类别</w:t>
      </w:r>
      <w:r>
        <w:rPr>
          <w:rFonts w:hint="eastAsia" w:ascii="仿宋_GB2312" w:hAnsi="仿宋_GB2312" w:eastAsia="仿宋_GB2312" w:cs="仿宋_GB2312"/>
          <w:b w:val="0"/>
          <w:bCs w:val="0"/>
          <w:color w:val="auto"/>
          <w:kern w:val="2"/>
          <w:sz w:val="32"/>
          <w:szCs w:val="32"/>
          <w:highlight w:val="none"/>
        </w:rPr>
        <w:t>T时段</w:t>
      </w:r>
      <w:r>
        <w:rPr>
          <w:rFonts w:hint="eastAsia" w:ascii="仿宋_GB2312" w:hAnsi="仿宋_GB2312" w:eastAsia="仿宋_GB2312" w:cs="仿宋_GB2312"/>
          <w:b w:val="0"/>
          <w:bCs w:val="0"/>
          <w:color w:val="auto"/>
          <w:kern w:val="2"/>
          <w:sz w:val="32"/>
          <w:szCs w:val="32"/>
          <w:highlight w:val="none"/>
          <w:lang w:eastAsia="zh-CN"/>
        </w:rPr>
        <w:t>的日前结算</w:t>
      </w:r>
      <w:r>
        <w:rPr>
          <w:rFonts w:hint="eastAsia" w:ascii="仿宋_GB2312" w:hAnsi="仿宋_GB2312" w:eastAsia="仿宋_GB2312" w:cs="仿宋_GB2312"/>
          <w:b w:val="0"/>
          <w:bCs w:val="0"/>
          <w:color w:val="auto"/>
          <w:kern w:val="2"/>
          <w:sz w:val="32"/>
          <w:szCs w:val="32"/>
          <w:highlight w:val="none"/>
        </w:rPr>
        <w:t>电价。</w:t>
      </w:r>
    </w:p>
    <w:p>
      <w:pPr>
        <w:pStyle w:val="66"/>
        <w:keepNext w:val="0"/>
        <w:keepLines w:val="0"/>
        <w:pageBreakBefore w:val="0"/>
        <w:numPr>
          <w:ilvl w:val="1"/>
          <w:numId w:val="10"/>
        </w:numPr>
        <w:kinsoku/>
        <w:wordWrap/>
        <w:overflowPunct/>
        <w:topLinePunct w:val="0"/>
        <w:autoSpaceDE/>
        <w:autoSpaceDN/>
        <w:bidi w:val="0"/>
        <w:adjustRightInd/>
        <w:snapToGrid/>
        <w:spacing w:line="560" w:lineRule="exact"/>
        <w:ind w:left="0" w:leftChars="0" w:firstLine="643" w:firstLineChars="200"/>
        <w:textAlignment w:val="auto"/>
        <w:outlineLvl w:val="1"/>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电网企业代购市场电量费用结算</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电网企业代购市场电量费用包括电网企业代购市场中长期合约电能量电费、电网企业代理购电日前市场偏差电能量电费、电网企业代理购电实时市场偏差电能量电费、分摊电费、返还电费等。</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C</w:t>
      </w:r>
      <w:r>
        <w:rPr>
          <w:rFonts w:hint="eastAsia" w:ascii="仿宋_GB2312" w:hAnsi="仿宋_GB2312" w:eastAsia="仿宋_GB2312" w:cs="仿宋_GB2312"/>
          <w:color w:val="auto"/>
          <w:sz w:val="32"/>
          <w:szCs w:val="32"/>
          <w:highlight w:val="none"/>
          <w:vertAlign w:val="subscript"/>
        </w:rPr>
        <w:t>电网企业代购市场电量电费</w:t>
      </w:r>
      <w:r>
        <w:rPr>
          <w:rFonts w:hint="eastAsia" w:ascii="仿宋_GB2312" w:hAnsi="仿宋_GB2312" w:eastAsia="仿宋_GB2312" w:cs="仿宋_GB2312"/>
          <w:color w:val="auto"/>
          <w:sz w:val="32"/>
          <w:szCs w:val="32"/>
          <w:highlight w:val="none"/>
        </w:rPr>
        <w:t>=C</w:t>
      </w:r>
      <w:r>
        <w:rPr>
          <w:rFonts w:hint="eastAsia" w:ascii="仿宋_GB2312" w:hAnsi="仿宋_GB2312" w:eastAsia="仿宋_GB2312" w:cs="仿宋_GB2312"/>
          <w:color w:val="auto"/>
          <w:sz w:val="32"/>
          <w:szCs w:val="32"/>
          <w:highlight w:val="none"/>
          <w:vertAlign w:val="subscript"/>
        </w:rPr>
        <w:t>电网代购中长期合约</w:t>
      </w:r>
      <w:r>
        <w:rPr>
          <w:rFonts w:hint="eastAsia" w:ascii="仿宋_GB2312" w:hAnsi="仿宋_GB2312" w:eastAsia="仿宋_GB2312" w:cs="仿宋_GB2312"/>
          <w:color w:val="auto"/>
          <w:sz w:val="32"/>
          <w:szCs w:val="32"/>
          <w:highlight w:val="none"/>
        </w:rPr>
        <w:t>+C</w:t>
      </w:r>
      <w:r>
        <w:rPr>
          <w:rFonts w:hint="eastAsia" w:ascii="仿宋_GB2312" w:hAnsi="仿宋_GB2312" w:eastAsia="仿宋_GB2312" w:cs="仿宋_GB2312"/>
          <w:color w:val="auto"/>
          <w:sz w:val="32"/>
          <w:szCs w:val="32"/>
          <w:highlight w:val="none"/>
          <w:vertAlign w:val="subscript"/>
        </w:rPr>
        <w:t>代购日前</w:t>
      </w:r>
      <w:r>
        <w:rPr>
          <w:rFonts w:hint="eastAsia" w:ascii="仿宋_GB2312" w:hAnsi="仿宋_GB2312" w:eastAsia="仿宋_GB2312" w:cs="仿宋_GB2312"/>
          <w:color w:val="auto"/>
          <w:sz w:val="32"/>
          <w:szCs w:val="32"/>
          <w:highlight w:val="none"/>
        </w:rPr>
        <w:t>+C</w:t>
      </w:r>
      <w:r>
        <w:rPr>
          <w:rFonts w:hint="eastAsia" w:ascii="仿宋_GB2312" w:hAnsi="仿宋_GB2312" w:eastAsia="仿宋_GB2312" w:cs="仿宋_GB2312"/>
          <w:color w:val="auto"/>
          <w:sz w:val="32"/>
          <w:szCs w:val="32"/>
          <w:highlight w:val="none"/>
          <w:vertAlign w:val="subscript"/>
        </w:rPr>
        <w:t>代购实时</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Cs/>
          <w:color w:val="auto"/>
          <w:sz w:val="32"/>
          <w:szCs w:val="32"/>
          <w:highlight w:val="none"/>
          <w:lang w:val="en-US" w:eastAsia="zh-CN"/>
        </w:rPr>
        <w:t>C</w:t>
      </w:r>
      <w:r>
        <w:rPr>
          <w:rFonts w:hint="eastAsia" w:ascii="仿宋_GB2312" w:hAnsi="仿宋_GB2312" w:eastAsia="仿宋_GB2312" w:cs="仿宋_GB2312"/>
          <w:bCs/>
          <w:color w:val="auto"/>
          <w:sz w:val="32"/>
          <w:szCs w:val="32"/>
          <w:highlight w:val="none"/>
          <w:vertAlign w:val="subscript"/>
          <w:lang w:val="en-US" w:eastAsia="zh-CN"/>
        </w:rPr>
        <w:t>省间中长期合约阻塞</w:t>
      </w:r>
      <w:r>
        <w:rPr>
          <w:rFonts w:hint="eastAsia" w:ascii="仿宋_GB2312" w:hAnsi="仿宋_GB2312" w:eastAsia="仿宋_GB2312" w:cs="仿宋_GB2312"/>
          <w:bCs/>
          <w:color w:val="auto"/>
          <w:sz w:val="32"/>
          <w:szCs w:val="32"/>
          <w:highlight w:val="none"/>
          <w:vertAlign w:val="baseline"/>
          <w:lang w:val="en-US" w:eastAsia="zh-CN"/>
        </w:rPr>
        <w:t>+</w:t>
      </w:r>
      <w:r>
        <w:rPr>
          <w:rFonts w:hint="eastAsia" w:ascii="仿宋_GB2312" w:hAnsi="仿宋_GB2312" w:eastAsia="仿宋_GB2312" w:cs="仿宋_GB2312"/>
          <w:color w:val="auto"/>
          <w:sz w:val="32"/>
          <w:szCs w:val="32"/>
          <w:highlight w:val="none"/>
        </w:rPr>
        <w:t>C</w:t>
      </w:r>
      <w:r>
        <w:rPr>
          <w:rFonts w:hint="eastAsia" w:ascii="仿宋_GB2312" w:hAnsi="仿宋_GB2312" w:eastAsia="仿宋_GB2312" w:cs="仿宋_GB2312"/>
          <w:color w:val="auto"/>
          <w:sz w:val="32"/>
          <w:szCs w:val="32"/>
          <w:highlight w:val="none"/>
          <w:vertAlign w:val="subscript"/>
        </w:rPr>
        <w:t>分摊</w:t>
      </w:r>
      <w:r>
        <w:rPr>
          <w:rFonts w:hint="eastAsia" w:ascii="仿宋_GB2312" w:hAnsi="仿宋_GB2312" w:eastAsia="仿宋_GB2312" w:cs="仿宋_GB2312"/>
          <w:color w:val="auto"/>
          <w:sz w:val="32"/>
          <w:szCs w:val="32"/>
          <w:highlight w:val="none"/>
        </w:rPr>
        <w:t>+C</w:t>
      </w:r>
      <w:r>
        <w:rPr>
          <w:rFonts w:hint="eastAsia" w:ascii="仿宋_GB2312" w:hAnsi="仿宋_GB2312" w:eastAsia="仿宋_GB2312" w:cs="仿宋_GB2312"/>
          <w:color w:val="auto"/>
          <w:sz w:val="32"/>
          <w:szCs w:val="32"/>
          <w:highlight w:val="none"/>
          <w:vertAlign w:val="subscript"/>
        </w:rPr>
        <w:t>返还</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Cs/>
          <w:color w:val="auto"/>
          <w:sz w:val="32"/>
          <w:szCs w:val="32"/>
          <w:highlight w:val="none"/>
          <w:lang w:val="en-US" w:eastAsia="zh-CN"/>
        </w:rPr>
        <w:t>R</w:t>
      </w:r>
      <w:r>
        <w:rPr>
          <w:rFonts w:hint="eastAsia" w:ascii="仿宋_GB2312" w:hAnsi="仿宋_GB2312" w:eastAsia="仿宋_GB2312" w:cs="仿宋_GB2312"/>
          <w:bCs/>
          <w:color w:val="auto"/>
          <w:sz w:val="32"/>
          <w:szCs w:val="32"/>
          <w:highlight w:val="none"/>
          <w:vertAlign w:val="subscript"/>
        </w:rPr>
        <w:t>跨省不平衡资金</w:t>
      </w:r>
      <w:r>
        <w:rPr>
          <w:rFonts w:hint="eastAsia" w:ascii="仿宋_GB2312" w:hAnsi="仿宋_GB2312" w:eastAsia="仿宋_GB2312" w:cs="仿宋_GB2312"/>
          <w:color w:val="auto"/>
          <w:sz w:val="32"/>
          <w:szCs w:val="32"/>
          <w:highlight w:val="none"/>
          <w:vertAlign w:val="subscript"/>
        </w:rPr>
        <w:t>（省内）</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其中：</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C</w:t>
      </w:r>
      <w:r>
        <w:rPr>
          <w:rFonts w:hint="eastAsia" w:ascii="仿宋_GB2312" w:hAnsi="仿宋_GB2312" w:eastAsia="仿宋_GB2312" w:cs="仿宋_GB2312"/>
          <w:color w:val="auto"/>
          <w:sz w:val="32"/>
          <w:szCs w:val="32"/>
          <w:highlight w:val="none"/>
          <w:vertAlign w:val="subscript"/>
        </w:rPr>
        <w:t>电网企业代购市场电量电费</w:t>
      </w:r>
      <w:r>
        <w:rPr>
          <w:rFonts w:hint="eastAsia" w:ascii="仿宋_GB2312" w:hAnsi="仿宋_GB2312" w:eastAsia="仿宋_GB2312" w:cs="仿宋_GB2312"/>
          <w:bCs/>
          <w:color w:val="auto"/>
          <w:sz w:val="32"/>
          <w:szCs w:val="32"/>
          <w:highlight w:val="none"/>
        </w:rPr>
        <w:t>为电网企业代购市场电量电费支出；</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C</w:t>
      </w:r>
      <w:r>
        <w:rPr>
          <w:rFonts w:hint="eastAsia" w:ascii="仿宋_GB2312" w:hAnsi="仿宋_GB2312" w:eastAsia="仿宋_GB2312" w:cs="仿宋_GB2312"/>
          <w:color w:val="auto"/>
          <w:sz w:val="32"/>
          <w:szCs w:val="32"/>
          <w:highlight w:val="none"/>
          <w:vertAlign w:val="subscript"/>
        </w:rPr>
        <w:t>电网代购中长期合约</w:t>
      </w:r>
      <w:r>
        <w:rPr>
          <w:rFonts w:hint="eastAsia" w:ascii="仿宋_GB2312" w:hAnsi="仿宋_GB2312" w:eastAsia="仿宋_GB2312" w:cs="仿宋_GB2312"/>
          <w:bCs/>
          <w:color w:val="auto"/>
          <w:sz w:val="32"/>
          <w:szCs w:val="32"/>
          <w:highlight w:val="none"/>
        </w:rPr>
        <w:t>为电网企业代购市场中长期合约电能量电费；</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C</w:t>
      </w:r>
      <w:r>
        <w:rPr>
          <w:rFonts w:hint="eastAsia" w:ascii="仿宋_GB2312" w:hAnsi="仿宋_GB2312" w:eastAsia="仿宋_GB2312" w:cs="仿宋_GB2312"/>
          <w:color w:val="auto"/>
          <w:sz w:val="32"/>
          <w:szCs w:val="32"/>
          <w:highlight w:val="none"/>
          <w:vertAlign w:val="subscript"/>
        </w:rPr>
        <w:t>代购日前</w:t>
      </w:r>
      <w:r>
        <w:rPr>
          <w:rFonts w:hint="eastAsia" w:ascii="仿宋_GB2312" w:hAnsi="仿宋_GB2312" w:eastAsia="仿宋_GB2312" w:cs="仿宋_GB2312"/>
          <w:bCs/>
          <w:color w:val="auto"/>
          <w:sz w:val="32"/>
          <w:szCs w:val="32"/>
          <w:highlight w:val="none"/>
        </w:rPr>
        <w:t>为电网企业代理购电日前市场偏差电能量电费；</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C</w:t>
      </w:r>
      <w:r>
        <w:rPr>
          <w:rFonts w:hint="eastAsia" w:ascii="仿宋_GB2312" w:hAnsi="仿宋_GB2312" w:eastAsia="仿宋_GB2312" w:cs="仿宋_GB2312"/>
          <w:color w:val="auto"/>
          <w:sz w:val="32"/>
          <w:szCs w:val="32"/>
          <w:highlight w:val="none"/>
          <w:vertAlign w:val="subscript"/>
        </w:rPr>
        <w:t>代购实时</w:t>
      </w:r>
      <w:r>
        <w:rPr>
          <w:rFonts w:hint="eastAsia" w:ascii="仿宋_GB2312" w:hAnsi="仿宋_GB2312" w:eastAsia="仿宋_GB2312" w:cs="仿宋_GB2312"/>
          <w:bCs/>
          <w:color w:val="auto"/>
          <w:sz w:val="32"/>
          <w:szCs w:val="32"/>
          <w:highlight w:val="none"/>
        </w:rPr>
        <w:t>为电网企业代理购电实时市场偏差电能量电费；</w:t>
      </w:r>
    </w:p>
    <w:p>
      <w:pPr>
        <w:pStyle w:val="22"/>
        <w:ind w:left="0" w:leftChars="0" w:firstLine="640" w:firstLineChars="200"/>
        <w:rPr>
          <w:rFonts w:hint="default" w:ascii="仿宋_GB2312" w:hAnsi="仿宋_GB2312" w:eastAsia="仿宋_GB2312" w:cs="仿宋_GB2312"/>
          <w:bCs/>
          <w:color w:val="auto"/>
          <w:sz w:val="32"/>
          <w:szCs w:val="32"/>
          <w:highlight w:val="none"/>
          <w:vertAlign w:val="baseline"/>
        </w:rPr>
      </w:pPr>
      <w:r>
        <w:rPr>
          <w:rFonts w:hint="eastAsia" w:ascii="仿宋_GB2312" w:hAnsi="仿宋_GB2312" w:eastAsia="仿宋_GB2312" w:cs="仿宋_GB2312"/>
          <w:bCs/>
          <w:color w:val="auto"/>
          <w:sz w:val="32"/>
          <w:szCs w:val="32"/>
          <w:highlight w:val="none"/>
          <w:lang w:val="en-US" w:eastAsia="zh-CN"/>
        </w:rPr>
        <w:t>C</w:t>
      </w:r>
      <w:r>
        <w:rPr>
          <w:rFonts w:hint="eastAsia" w:ascii="仿宋_GB2312" w:hAnsi="仿宋_GB2312" w:eastAsia="仿宋_GB2312" w:cs="仿宋_GB2312"/>
          <w:bCs/>
          <w:color w:val="auto"/>
          <w:sz w:val="32"/>
          <w:szCs w:val="32"/>
          <w:highlight w:val="none"/>
          <w:vertAlign w:val="subscript"/>
          <w:lang w:val="en-US" w:eastAsia="zh-CN"/>
        </w:rPr>
        <w:t>省间中长期合约阻塞</w:t>
      </w:r>
      <w:r>
        <w:rPr>
          <w:rFonts w:hint="eastAsia" w:ascii="仿宋_GB2312" w:hAnsi="仿宋_GB2312" w:eastAsia="仿宋_GB2312" w:cs="仿宋_GB2312"/>
          <w:bCs/>
          <w:color w:val="auto"/>
          <w:sz w:val="32"/>
          <w:szCs w:val="32"/>
          <w:highlight w:val="none"/>
          <w:vertAlign w:val="baseline"/>
          <w:lang w:val="en-US" w:eastAsia="zh-CN"/>
        </w:rPr>
        <w:t>为电网企业代理购电省间中长期合约阻塞电费；</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C</w:t>
      </w:r>
      <w:r>
        <w:rPr>
          <w:rFonts w:hint="eastAsia" w:ascii="仿宋_GB2312" w:hAnsi="仿宋_GB2312" w:eastAsia="仿宋_GB2312" w:cs="仿宋_GB2312"/>
          <w:color w:val="auto"/>
          <w:sz w:val="32"/>
          <w:szCs w:val="32"/>
          <w:highlight w:val="none"/>
          <w:vertAlign w:val="subscript"/>
        </w:rPr>
        <w:t>分摊</w:t>
      </w:r>
      <w:r>
        <w:rPr>
          <w:rFonts w:hint="eastAsia" w:ascii="仿宋_GB2312" w:hAnsi="仿宋_GB2312" w:eastAsia="仿宋_GB2312" w:cs="仿宋_GB2312"/>
          <w:bCs/>
          <w:color w:val="auto"/>
          <w:sz w:val="32"/>
          <w:szCs w:val="32"/>
          <w:highlight w:val="none"/>
        </w:rPr>
        <w:t>为电网企业代购用户的系统运行补偿等分摊电费，具体见</w:t>
      </w:r>
      <w:r>
        <w:rPr>
          <w:rFonts w:hint="eastAsia" w:ascii="仿宋_GB2312" w:hAnsi="仿宋_GB2312" w:eastAsia="仿宋_GB2312" w:cs="仿宋_GB2312"/>
          <w:bCs/>
          <w:color w:val="auto"/>
          <w:sz w:val="32"/>
          <w:szCs w:val="32"/>
          <w:highlight w:val="none"/>
          <w:lang w:val="en-US" w:eastAsia="zh-CN"/>
        </w:rPr>
        <w:t>7</w:t>
      </w:r>
      <w:r>
        <w:rPr>
          <w:rFonts w:hint="eastAsia" w:ascii="仿宋_GB2312" w:hAnsi="仿宋_GB2312" w:eastAsia="仿宋_GB2312" w:cs="仿宋_GB2312"/>
          <w:bCs/>
          <w:color w:val="auto"/>
          <w:sz w:val="32"/>
          <w:szCs w:val="32"/>
          <w:highlight w:val="none"/>
        </w:rPr>
        <w:t>章；</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lang w:eastAsia="zh-CN"/>
        </w:rPr>
      </w:pPr>
      <w:r>
        <w:rPr>
          <w:rFonts w:hint="eastAsia" w:ascii="仿宋_GB2312" w:hAnsi="仿宋_GB2312" w:eastAsia="仿宋_GB2312" w:cs="仿宋_GB2312"/>
          <w:bCs/>
          <w:color w:val="auto"/>
          <w:sz w:val="32"/>
          <w:szCs w:val="32"/>
          <w:highlight w:val="none"/>
        </w:rPr>
        <w:t>C</w:t>
      </w:r>
      <w:r>
        <w:rPr>
          <w:rFonts w:hint="eastAsia" w:ascii="仿宋_GB2312" w:hAnsi="仿宋_GB2312" w:eastAsia="仿宋_GB2312" w:cs="仿宋_GB2312"/>
          <w:color w:val="auto"/>
          <w:sz w:val="32"/>
          <w:szCs w:val="32"/>
          <w:highlight w:val="none"/>
          <w:vertAlign w:val="subscript"/>
        </w:rPr>
        <w:t>返还</w:t>
      </w:r>
      <w:r>
        <w:rPr>
          <w:rFonts w:hint="eastAsia" w:ascii="仿宋_GB2312" w:hAnsi="仿宋_GB2312" w:eastAsia="仿宋_GB2312" w:cs="仿宋_GB2312"/>
          <w:bCs/>
          <w:color w:val="auto"/>
          <w:sz w:val="32"/>
          <w:szCs w:val="32"/>
          <w:highlight w:val="none"/>
        </w:rPr>
        <w:t>为电网企业代购用户的偏差收益转移等返还电费，具体见</w:t>
      </w:r>
      <w:r>
        <w:rPr>
          <w:rFonts w:hint="eastAsia" w:ascii="仿宋_GB2312" w:hAnsi="仿宋_GB2312" w:eastAsia="仿宋_GB2312" w:cs="仿宋_GB2312"/>
          <w:bCs/>
          <w:color w:val="auto"/>
          <w:sz w:val="32"/>
          <w:szCs w:val="32"/>
          <w:highlight w:val="none"/>
          <w:lang w:val="en-US" w:eastAsia="zh-CN"/>
        </w:rPr>
        <w:t>7</w:t>
      </w:r>
      <w:r>
        <w:rPr>
          <w:rFonts w:hint="eastAsia" w:ascii="仿宋_GB2312" w:hAnsi="仿宋_GB2312" w:eastAsia="仿宋_GB2312" w:cs="仿宋_GB2312"/>
          <w:bCs/>
          <w:color w:val="auto"/>
          <w:sz w:val="32"/>
          <w:szCs w:val="32"/>
          <w:highlight w:val="none"/>
        </w:rPr>
        <w:t>章</w:t>
      </w:r>
      <w:r>
        <w:rPr>
          <w:rFonts w:hint="eastAsia" w:ascii="仿宋_GB2312" w:hAnsi="仿宋_GB2312" w:eastAsia="仿宋_GB2312" w:cs="仿宋_GB2312"/>
          <w:bCs/>
          <w:color w:val="auto"/>
          <w:sz w:val="32"/>
          <w:szCs w:val="32"/>
          <w:highlight w:val="none"/>
          <w:lang w:eastAsia="zh-CN"/>
        </w:rPr>
        <w:t>；</w:t>
      </w:r>
    </w:p>
    <w:p>
      <w:pPr>
        <w:pStyle w:val="23"/>
        <w:keepNext w:val="0"/>
        <w:keepLines w:val="0"/>
        <w:pageBreakBefore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rPr>
          <w:rFonts w:hint="eastAsia" w:ascii="仿宋_GB2312" w:hAnsi="仿宋_GB2312" w:eastAsia="仿宋_GB2312" w:cs="仿宋_GB2312"/>
          <w:bCs/>
          <w:color w:val="auto"/>
          <w:sz w:val="32"/>
          <w:szCs w:val="32"/>
          <w:highlight w:val="none"/>
          <w:lang w:eastAsia="zh-CN"/>
        </w:rPr>
      </w:pP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rPr>
        <w:t>跨省不平衡资金</w:t>
      </w:r>
      <w:r>
        <w:rPr>
          <w:rFonts w:hint="eastAsia" w:ascii="仿宋_GB2312" w:hAnsi="仿宋_GB2312" w:eastAsia="仿宋_GB2312" w:cs="仿宋_GB2312"/>
          <w:color w:val="auto"/>
          <w:sz w:val="32"/>
          <w:szCs w:val="32"/>
          <w:highlight w:val="none"/>
          <w:vertAlign w:val="subscript"/>
        </w:rPr>
        <w:t>（省内）</w:t>
      </w:r>
      <w:r>
        <w:rPr>
          <w:rFonts w:hint="eastAsia" w:ascii="仿宋_GB2312" w:hAnsi="仿宋_GB2312" w:eastAsia="仿宋_GB2312" w:cs="仿宋_GB2312"/>
          <w:bCs/>
          <w:color w:val="auto"/>
          <w:sz w:val="32"/>
          <w:szCs w:val="32"/>
          <w:highlight w:val="none"/>
        </w:rPr>
        <w:t>需承担的跨省结算不平衡资金分摊或分享费用；详见</w:t>
      </w:r>
      <w:r>
        <w:rPr>
          <w:rFonts w:hint="eastAsia" w:ascii="仿宋_GB2312" w:hAnsi="仿宋_GB2312" w:eastAsia="仿宋_GB2312" w:cs="仿宋_GB2312"/>
          <w:bCs/>
          <w:color w:val="auto"/>
          <w:sz w:val="32"/>
          <w:szCs w:val="32"/>
          <w:highlight w:val="none"/>
          <w:lang w:val="en-US" w:eastAsia="zh-CN"/>
        </w:rPr>
        <w:t>7.4.1</w:t>
      </w:r>
      <w:r>
        <w:rPr>
          <w:rFonts w:hint="eastAsia" w:ascii="仿宋_GB2312" w:hAnsi="仿宋_GB2312" w:eastAsia="仿宋_GB2312" w:cs="仿宋_GB2312"/>
          <w:bCs/>
          <w:color w:val="auto"/>
          <w:sz w:val="32"/>
          <w:szCs w:val="32"/>
          <w:highlight w:val="none"/>
          <w:lang w:eastAsia="zh-CN"/>
        </w:rPr>
        <w:t>。</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5.3.1电网企业代购市场电量中长期合约电费</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根据电网代购市场合约电量和电网代购市场电量合约价格计算电网企业代购市场电量合约电费。计算公式如下：</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C</w:t>
      </w:r>
      <w:r>
        <w:rPr>
          <w:rFonts w:hint="eastAsia" w:ascii="仿宋_GB2312" w:hAnsi="仿宋_GB2312" w:eastAsia="仿宋_GB2312" w:cs="仿宋_GB2312"/>
          <w:color w:val="auto"/>
          <w:kern w:val="2"/>
          <w:sz w:val="32"/>
          <w:szCs w:val="32"/>
          <w:highlight w:val="none"/>
          <w:vertAlign w:val="subscript"/>
          <w:lang w:val="en-US" w:eastAsia="zh-CN" w:bidi="ar-SA"/>
        </w:rPr>
        <w:t>电网代购中长期合约</w:t>
      </w:r>
      <w:r>
        <w:rPr>
          <w:rFonts w:hint="eastAsia" w:ascii="仿宋_GB2312" w:hAnsi="仿宋_GB2312" w:eastAsia="仿宋_GB2312" w:cs="仿宋_GB2312"/>
          <w:bCs/>
          <w:color w:val="auto"/>
          <w:sz w:val="32"/>
          <w:szCs w:val="32"/>
          <w:highlight w:val="none"/>
        </w:rPr>
        <w:t>=Σ（Q</w:t>
      </w:r>
      <w:r>
        <w:rPr>
          <w:rFonts w:hint="eastAsia" w:ascii="仿宋_GB2312" w:hAnsi="仿宋_GB2312" w:eastAsia="仿宋_GB2312" w:cs="仿宋_GB2312"/>
          <w:color w:val="auto"/>
          <w:kern w:val="2"/>
          <w:sz w:val="32"/>
          <w:szCs w:val="32"/>
          <w:highlight w:val="none"/>
          <w:vertAlign w:val="subscript"/>
          <w:lang w:val="en-US" w:eastAsia="zh-CN" w:bidi="ar-SA"/>
        </w:rPr>
        <w:t>电网代购市场合约,t</w:t>
      </w: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color w:val="auto"/>
          <w:kern w:val="2"/>
          <w:sz w:val="32"/>
          <w:szCs w:val="32"/>
          <w:highlight w:val="none"/>
          <w:vertAlign w:val="subscript"/>
          <w:lang w:val="en-US" w:eastAsia="zh-CN" w:bidi="ar-SA"/>
        </w:rPr>
        <w:t>代购,t</w:t>
      </w:r>
      <w:r>
        <w:rPr>
          <w:rFonts w:hint="eastAsia" w:ascii="仿宋_GB2312" w:hAnsi="仿宋_GB2312" w:eastAsia="仿宋_GB2312" w:cs="仿宋_GB2312"/>
          <w:bCs/>
          <w:color w:val="auto"/>
          <w:sz w:val="32"/>
          <w:szCs w:val="32"/>
          <w:highlight w:val="none"/>
        </w:rPr>
        <w:t>）</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其中：</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C</w:t>
      </w:r>
      <w:r>
        <w:rPr>
          <w:rFonts w:hint="eastAsia" w:ascii="仿宋_GB2312" w:hAnsi="仿宋_GB2312" w:eastAsia="仿宋_GB2312" w:cs="仿宋_GB2312"/>
          <w:color w:val="auto"/>
          <w:kern w:val="2"/>
          <w:sz w:val="32"/>
          <w:szCs w:val="32"/>
          <w:highlight w:val="none"/>
          <w:vertAlign w:val="subscript"/>
          <w:lang w:val="en-US" w:eastAsia="zh-CN" w:bidi="ar-SA"/>
        </w:rPr>
        <w:t>电网代购中长期合约</w:t>
      </w:r>
      <w:r>
        <w:rPr>
          <w:rFonts w:hint="eastAsia" w:ascii="仿宋_GB2312" w:hAnsi="仿宋_GB2312" w:eastAsia="仿宋_GB2312" w:cs="仿宋_GB2312"/>
          <w:bCs/>
          <w:color w:val="auto"/>
          <w:sz w:val="32"/>
          <w:szCs w:val="32"/>
          <w:highlight w:val="none"/>
        </w:rPr>
        <w:t>为电网企业代购市场电量中长期合约电费；</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color w:val="auto"/>
          <w:kern w:val="2"/>
          <w:sz w:val="32"/>
          <w:szCs w:val="32"/>
          <w:highlight w:val="none"/>
          <w:vertAlign w:val="subscript"/>
          <w:lang w:val="en-US" w:eastAsia="zh-CN" w:bidi="ar-SA"/>
        </w:rPr>
        <w:t>电网代购市场合约,t</w:t>
      </w:r>
      <w:r>
        <w:rPr>
          <w:rFonts w:hint="eastAsia" w:ascii="仿宋_GB2312" w:hAnsi="仿宋_GB2312" w:eastAsia="仿宋_GB2312" w:cs="仿宋_GB2312"/>
          <w:bCs/>
          <w:color w:val="auto"/>
          <w:sz w:val="32"/>
          <w:szCs w:val="32"/>
          <w:highlight w:val="none"/>
        </w:rPr>
        <w:t>为电网代购T时段市场合约电量；</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 xml:space="preserve">P </w:t>
      </w:r>
      <w:r>
        <w:rPr>
          <w:rFonts w:hint="eastAsia" w:ascii="仿宋_GB2312" w:hAnsi="仿宋_GB2312" w:eastAsia="仿宋_GB2312" w:cs="仿宋_GB2312"/>
          <w:color w:val="auto"/>
          <w:kern w:val="2"/>
          <w:sz w:val="32"/>
          <w:szCs w:val="32"/>
          <w:highlight w:val="none"/>
          <w:vertAlign w:val="subscript"/>
          <w:lang w:val="en-US" w:eastAsia="zh-CN" w:bidi="ar-SA"/>
        </w:rPr>
        <w:t>代购</w:t>
      </w:r>
      <w:r>
        <w:rPr>
          <w:rFonts w:hint="eastAsia" w:ascii="仿宋_GB2312" w:hAnsi="仿宋_GB2312" w:eastAsia="仿宋_GB2312" w:cs="仿宋_GB2312"/>
          <w:bCs/>
          <w:color w:val="auto"/>
          <w:sz w:val="32"/>
          <w:szCs w:val="32"/>
          <w:highlight w:val="none"/>
        </w:rPr>
        <w:t>为电网代购T</w:t>
      </w:r>
      <w:r>
        <w:rPr>
          <w:rFonts w:hint="eastAsia" w:ascii="仿宋_GB2312" w:hAnsi="仿宋_GB2312" w:eastAsia="仿宋_GB2312" w:cs="仿宋_GB2312"/>
          <w:bCs/>
          <w:color w:val="auto"/>
          <w:sz w:val="32"/>
          <w:szCs w:val="32"/>
          <w:highlight w:val="none"/>
        </w:rPr>
        <w:tab/>
      </w:r>
      <w:r>
        <w:rPr>
          <w:rFonts w:hint="eastAsia" w:ascii="仿宋_GB2312" w:hAnsi="仿宋_GB2312" w:eastAsia="仿宋_GB2312" w:cs="仿宋_GB2312"/>
          <w:bCs/>
          <w:color w:val="auto"/>
          <w:sz w:val="32"/>
          <w:szCs w:val="32"/>
          <w:highlight w:val="none"/>
        </w:rPr>
        <w:t>时段市场电量合约价格。</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5.3.2日前市场偏差结算</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根据电网企业日前市场申报的分时电量与中长期合约电量之间的差额，以日前市场统一结算点电价计算日前偏差电费。</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公式为</w:t>
      </w:r>
      <w:r>
        <w:rPr>
          <w:rFonts w:hint="eastAsia" w:ascii="仿宋_GB2312" w:hAnsi="仿宋_GB2312" w:eastAsia="仿宋_GB2312" w:cs="仿宋_GB2312"/>
          <w:bCs/>
          <w:color w:val="auto"/>
          <w:sz w:val="32"/>
          <w:szCs w:val="32"/>
          <w:highlight w:val="none"/>
          <w:lang w:eastAsia="zh-CN"/>
        </w:rPr>
        <w:t>：</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C</w:t>
      </w:r>
      <w:r>
        <w:rPr>
          <w:rFonts w:hint="eastAsia" w:ascii="仿宋_GB2312" w:hAnsi="仿宋_GB2312" w:eastAsia="仿宋_GB2312" w:cs="仿宋_GB2312"/>
          <w:color w:val="auto"/>
          <w:kern w:val="2"/>
          <w:sz w:val="32"/>
          <w:szCs w:val="32"/>
          <w:highlight w:val="none"/>
          <w:vertAlign w:val="subscript"/>
          <w:lang w:val="en-US" w:eastAsia="zh-CN" w:bidi="ar-SA"/>
        </w:rPr>
        <w:t>代购日前</w:t>
      </w:r>
      <w:r>
        <w:rPr>
          <w:rFonts w:hint="eastAsia" w:ascii="仿宋_GB2312" w:hAnsi="仿宋_GB2312" w:eastAsia="仿宋_GB2312" w:cs="仿宋_GB2312"/>
          <w:bCs/>
          <w:color w:val="auto"/>
          <w:sz w:val="32"/>
          <w:szCs w:val="32"/>
          <w:highlight w:val="none"/>
        </w:rPr>
        <w:t>=Σ [(Q</w:t>
      </w:r>
      <w:r>
        <w:rPr>
          <w:rFonts w:hint="eastAsia" w:ascii="仿宋_GB2312" w:hAnsi="仿宋_GB2312" w:eastAsia="仿宋_GB2312" w:cs="仿宋_GB2312"/>
          <w:color w:val="auto"/>
          <w:kern w:val="2"/>
          <w:sz w:val="32"/>
          <w:szCs w:val="32"/>
          <w:highlight w:val="none"/>
          <w:vertAlign w:val="subscript"/>
          <w:lang w:val="en-US" w:eastAsia="zh-CN" w:bidi="ar-SA"/>
        </w:rPr>
        <w:t>代购日前,t</w:t>
      </w:r>
      <w:r>
        <w:rPr>
          <w:rFonts w:hint="eastAsia" w:ascii="仿宋_GB2312" w:hAnsi="仿宋_GB2312" w:eastAsia="仿宋_GB2312" w:cs="仿宋_GB2312"/>
          <w:bCs/>
          <w:color w:val="auto"/>
          <w:sz w:val="32"/>
          <w:szCs w:val="32"/>
          <w:highlight w:val="none"/>
        </w:rPr>
        <w:t>－ΣQ</w:t>
      </w:r>
      <w:r>
        <w:rPr>
          <w:rFonts w:hint="eastAsia" w:ascii="仿宋_GB2312" w:hAnsi="仿宋_GB2312" w:eastAsia="仿宋_GB2312" w:cs="仿宋_GB2312"/>
          <w:color w:val="auto"/>
          <w:kern w:val="2"/>
          <w:sz w:val="32"/>
          <w:szCs w:val="32"/>
          <w:highlight w:val="none"/>
          <w:vertAlign w:val="subscript"/>
          <w:lang w:val="en-US" w:eastAsia="zh-CN" w:bidi="ar-SA"/>
        </w:rPr>
        <w:t>电网代购市场合约</w:t>
      </w:r>
      <w:r>
        <w:rPr>
          <w:rFonts w:hint="eastAsia" w:ascii="仿宋_GB2312" w:hAnsi="仿宋_GB2312" w:eastAsia="仿宋_GB2312" w:cs="仿宋_GB2312"/>
          <w:bCs/>
          <w:color w:val="auto"/>
          <w:sz w:val="32"/>
          <w:szCs w:val="32"/>
          <w:highlight w:val="none"/>
          <w:vertAlign w:val="subscript"/>
        </w:rPr>
        <w:t>,t</w:t>
      </w: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color w:val="auto"/>
          <w:kern w:val="2"/>
          <w:sz w:val="32"/>
          <w:szCs w:val="32"/>
          <w:highlight w:val="none"/>
          <w:vertAlign w:val="subscript"/>
          <w:lang w:val="en-US" w:eastAsia="zh-CN" w:bidi="ar-SA"/>
        </w:rPr>
        <w:t>日前统一,t</w:t>
      </w:r>
      <w:r>
        <w:rPr>
          <w:rFonts w:hint="eastAsia" w:ascii="仿宋_GB2312" w:hAnsi="仿宋_GB2312" w:eastAsia="仿宋_GB2312" w:cs="仿宋_GB2312"/>
          <w:bCs/>
          <w:color w:val="auto"/>
          <w:sz w:val="32"/>
          <w:szCs w:val="32"/>
          <w:highlight w:val="none"/>
        </w:rPr>
        <w:t>]</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其中：</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C</w:t>
      </w:r>
      <w:r>
        <w:rPr>
          <w:rFonts w:hint="eastAsia" w:ascii="仿宋_GB2312" w:hAnsi="仿宋_GB2312" w:eastAsia="仿宋_GB2312" w:cs="仿宋_GB2312"/>
          <w:color w:val="auto"/>
          <w:kern w:val="2"/>
          <w:sz w:val="32"/>
          <w:szCs w:val="32"/>
          <w:highlight w:val="none"/>
          <w:vertAlign w:val="subscript"/>
          <w:lang w:val="en-US" w:eastAsia="zh-CN" w:bidi="ar-SA"/>
        </w:rPr>
        <w:t>代购日前</w:t>
      </w:r>
      <w:r>
        <w:rPr>
          <w:rFonts w:hint="eastAsia" w:ascii="仿宋_GB2312" w:hAnsi="仿宋_GB2312" w:eastAsia="仿宋_GB2312" w:cs="仿宋_GB2312"/>
          <w:bCs/>
          <w:color w:val="auto"/>
          <w:sz w:val="32"/>
          <w:szCs w:val="32"/>
          <w:highlight w:val="none"/>
        </w:rPr>
        <w:t>为电网企业代理购电日前市场偏差电能量电费；</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color w:val="auto"/>
          <w:kern w:val="2"/>
          <w:sz w:val="32"/>
          <w:szCs w:val="32"/>
          <w:highlight w:val="none"/>
          <w:vertAlign w:val="subscript"/>
          <w:lang w:val="en-US" w:eastAsia="zh-CN" w:bidi="ar-SA"/>
        </w:rPr>
        <w:t>代购日前,t</w:t>
      </w:r>
      <w:r>
        <w:rPr>
          <w:rFonts w:hint="eastAsia" w:ascii="仿宋_GB2312" w:hAnsi="仿宋_GB2312" w:eastAsia="仿宋_GB2312" w:cs="仿宋_GB2312"/>
          <w:bCs/>
          <w:color w:val="auto"/>
          <w:sz w:val="32"/>
          <w:szCs w:val="32"/>
          <w:highlight w:val="none"/>
        </w:rPr>
        <w:t>为电网企业日前市场申报的T时段电网代理购电的需求电量；</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color w:val="auto"/>
          <w:kern w:val="2"/>
          <w:sz w:val="32"/>
          <w:szCs w:val="32"/>
          <w:highlight w:val="none"/>
          <w:vertAlign w:val="subscript"/>
          <w:lang w:val="en-US" w:eastAsia="zh-CN" w:bidi="ar-SA"/>
        </w:rPr>
        <w:t>电网代购市场合约,t</w:t>
      </w:r>
      <w:r>
        <w:rPr>
          <w:rFonts w:hint="eastAsia" w:ascii="仿宋_GB2312" w:hAnsi="仿宋_GB2312" w:eastAsia="仿宋_GB2312" w:cs="仿宋_GB2312"/>
          <w:bCs/>
          <w:color w:val="auto"/>
          <w:sz w:val="32"/>
          <w:szCs w:val="32"/>
          <w:highlight w:val="none"/>
        </w:rPr>
        <w:t>为电网代购T时段市场合约电量；</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color w:val="auto"/>
          <w:kern w:val="2"/>
          <w:sz w:val="32"/>
          <w:szCs w:val="32"/>
          <w:highlight w:val="none"/>
          <w:vertAlign w:val="subscript"/>
          <w:lang w:val="en-US" w:eastAsia="zh-CN" w:bidi="ar-SA"/>
        </w:rPr>
        <w:t>日前统一,t</w:t>
      </w:r>
      <w:r>
        <w:rPr>
          <w:rFonts w:hint="eastAsia" w:ascii="仿宋_GB2312" w:hAnsi="仿宋_GB2312" w:eastAsia="仿宋_GB2312" w:cs="仿宋_GB2312"/>
          <w:bCs/>
          <w:color w:val="auto"/>
          <w:sz w:val="32"/>
          <w:szCs w:val="32"/>
          <w:highlight w:val="none"/>
        </w:rPr>
        <w:t>为日前市场T时段统一结算点电价。</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5.3.3实时市场偏差结算</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根据电网企业代购市场实际分时电量与电网企业日前市场申报的分时电量之间的差额，以实时市场统一结算点电价计算实时偏差电费。公式为：</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C</w:t>
      </w:r>
      <w:r>
        <w:rPr>
          <w:rFonts w:hint="eastAsia" w:ascii="仿宋_GB2312" w:hAnsi="仿宋_GB2312" w:eastAsia="仿宋_GB2312" w:cs="仿宋_GB2312"/>
          <w:color w:val="auto"/>
          <w:kern w:val="2"/>
          <w:sz w:val="32"/>
          <w:szCs w:val="32"/>
          <w:highlight w:val="none"/>
          <w:vertAlign w:val="subscript"/>
          <w:lang w:val="en-US" w:eastAsia="zh-CN" w:bidi="ar-SA"/>
        </w:rPr>
        <w:t>代购实时</w:t>
      </w:r>
      <w:r>
        <w:rPr>
          <w:rFonts w:hint="eastAsia" w:ascii="仿宋_GB2312" w:hAnsi="仿宋_GB2312" w:eastAsia="仿宋_GB2312" w:cs="仿宋_GB2312"/>
          <w:bCs/>
          <w:color w:val="auto"/>
          <w:sz w:val="32"/>
          <w:szCs w:val="32"/>
          <w:highlight w:val="none"/>
        </w:rPr>
        <w:t>=Σ[(Q</w:t>
      </w:r>
      <w:r>
        <w:rPr>
          <w:rFonts w:hint="eastAsia" w:ascii="仿宋_GB2312" w:hAnsi="仿宋_GB2312" w:eastAsia="仿宋_GB2312" w:cs="仿宋_GB2312"/>
          <w:color w:val="auto"/>
          <w:kern w:val="2"/>
          <w:sz w:val="32"/>
          <w:szCs w:val="32"/>
          <w:highlight w:val="none"/>
          <w:vertAlign w:val="subscript"/>
          <w:lang w:val="en-US" w:eastAsia="zh-CN" w:bidi="ar-SA"/>
        </w:rPr>
        <w:t>代购实时,t</w:t>
      </w: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color w:val="auto"/>
          <w:kern w:val="2"/>
          <w:sz w:val="32"/>
          <w:szCs w:val="32"/>
          <w:highlight w:val="none"/>
          <w:vertAlign w:val="subscript"/>
          <w:lang w:val="en-US" w:eastAsia="zh-CN" w:bidi="ar-SA"/>
        </w:rPr>
        <w:t>代购日前,t</w:t>
      </w: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color w:val="auto"/>
          <w:kern w:val="2"/>
          <w:sz w:val="32"/>
          <w:szCs w:val="32"/>
          <w:highlight w:val="none"/>
          <w:vertAlign w:val="subscript"/>
          <w:lang w:val="en-US" w:eastAsia="zh-CN" w:bidi="ar-SA"/>
        </w:rPr>
        <w:t>实时统一,t</w:t>
      </w:r>
      <w:r>
        <w:rPr>
          <w:rFonts w:hint="eastAsia" w:ascii="仿宋_GB2312" w:hAnsi="仿宋_GB2312" w:eastAsia="仿宋_GB2312" w:cs="仿宋_GB2312"/>
          <w:bCs/>
          <w:color w:val="auto"/>
          <w:sz w:val="32"/>
          <w:szCs w:val="32"/>
          <w:highlight w:val="none"/>
        </w:rPr>
        <w:t>]</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其中：</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C</w:t>
      </w:r>
      <w:r>
        <w:rPr>
          <w:rFonts w:hint="eastAsia" w:ascii="仿宋_GB2312" w:hAnsi="仿宋_GB2312" w:eastAsia="仿宋_GB2312" w:cs="仿宋_GB2312"/>
          <w:color w:val="auto"/>
          <w:kern w:val="2"/>
          <w:sz w:val="32"/>
          <w:szCs w:val="32"/>
          <w:highlight w:val="none"/>
          <w:vertAlign w:val="subscript"/>
          <w:lang w:val="en-US" w:eastAsia="zh-CN" w:bidi="ar-SA"/>
        </w:rPr>
        <w:t>代购实时</w:t>
      </w:r>
      <w:r>
        <w:rPr>
          <w:rFonts w:hint="eastAsia" w:ascii="仿宋_GB2312" w:hAnsi="仿宋_GB2312" w:eastAsia="仿宋_GB2312" w:cs="仿宋_GB2312"/>
          <w:bCs/>
          <w:color w:val="auto"/>
          <w:sz w:val="32"/>
          <w:szCs w:val="32"/>
          <w:highlight w:val="none"/>
        </w:rPr>
        <w:t>为电网企业代理购电实时市场偏差电能量电费；</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color w:val="auto"/>
          <w:kern w:val="2"/>
          <w:sz w:val="32"/>
          <w:szCs w:val="32"/>
          <w:highlight w:val="none"/>
          <w:vertAlign w:val="subscript"/>
          <w:lang w:val="en-US" w:eastAsia="zh-CN" w:bidi="ar-SA"/>
        </w:rPr>
        <w:t>代购实时,t</w:t>
      </w:r>
      <w:r>
        <w:rPr>
          <w:rFonts w:hint="eastAsia" w:ascii="仿宋_GB2312" w:hAnsi="仿宋_GB2312" w:eastAsia="仿宋_GB2312" w:cs="仿宋_GB2312"/>
          <w:bCs/>
          <w:color w:val="auto"/>
          <w:sz w:val="32"/>
          <w:szCs w:val="32"/>
          <w:highlight w:val="none"/>
        </w:rPr>
        <w:t>为电网企业代理购电T时段实际购买市场机组的电量；</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color w:val="auto"/>
          <w:kern w:val="2"/>
          <w:sz w:val="32"/>
          <w:szCs w:val="32"/>
          <w:highlight w:val="none"/>
          <w:vertAlign w:val="subscript"/>
          <w:lang w:val="en-US" w:eastAsia="zh-CN" w:bidi="ar-SA"/>
        </w:rPr>
        <w:t>代购日前,t</w:t>
      </w:r>
      <w:r>
        <w:rPr>
          <w:rFonts w:hint="eastAsia" w:ascii="仿宋_GB2312" w:hAnsi="仿宋_GB2312" w:eastAsia="仿宋_GB2312" w:cs="仿宋_GB2312"/>
          <w:bCs/>
          <w:color w:val="auto"/>
          <w:sz w:val="32"/>
          <w:szCs w:val="32"/>
          <w:highlight w:val="none"/>
        </w:rPr>
        <w:t>为电网企业日前市场申报的T时段电网代理购电的需求电量；</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color w:val="auto"/>
          <w:kern w:val="2"/>
          <w:sz w:val="32"/>
          <w:szCs w:val="32"/>
          <w:highlight w:val="none"/>
          <w:vertAlign w:val="subscript"/>
          <w:lang w:val="en-US" w:eastAsia="zh-CN" w:bidi="ar-SA"/>
        </w:rPr>
        <w:t>实时统一,t</w:t>
      </w:r>
      <w:r>
        <w:rPr>
          <w:rFonts w:hint="eastAsia" w:ascii="仿宋_GB2312" w:hAnsi="仿宋_GB2312" w:eastAsia="仿宋_GB2312" w:cs="仿宋_GB2312"/>
          <w:bCs/>
          <w:color w:val="auto"/>
          <w:sz w:val="32"/>
          <w:szCs w:val="32"/>
          <w:highlight w:val="none"/>
        </w:rPr>
        <w:t>为实时市场T时段统一结算点电价。</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5.3.4电网企业代购市场实际分时电量</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电网企业代购市场实际分时电量，由市场机组总实际上网电量和市场购电用户总实际用电量计算得出。计算公式如下：</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color w:val="auto"/>
          <w:kern w:val="2"/>
          <w:sz w:val="32"/>
          <w:szCs w:val="32"/>
          <w:highlight w:val="none"/>
          <w:vertAlign w:val="subscript"/>
          <w:lang w:val="en-US" w:eastAsia="zh-CN" w:bidi="ar-SA"/>
        </w:rPr>
        <w:t>代购实时,t</w:t>
      </w: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color w:val="auto"/>
          <w:kern w:val="2"/>
          <w:sz w:val="32"/>
          <w:szCs w:val="32"/>
          <w:highlight w:val="none"/>
          <w:vertAlign w:val="subscript"/>
          <w:lang w:val="en-US" w:eastAsia="zh-CN" w:bidi="ar-SA"/>
        </w:rPr>
        <w:t>总上网结算,t</w:t>
      </w:r>
      <w:r>
        <w:rPr>
          <w:rFonts w:hint="eastAsia" w:ascii="仿宋_GB2312" w:hAnsi="仿宋_GB2312" w:eastAsia="仿宋_GB2312" w:cs="仿宋_GB2312"/>
          <w:color w:val="auto"/>
          <w:kern w:val="2"/>
          <w:sz w:val="32"/>
          <w:szCs w:val="32"/>
          <w:highlight w:val="none"/>
          <w:vertAlign w:val="baseline"/>
          <w:lang w:val="en-US" w:eastAsia="zh-CN" w:bidi="ar-SA"/>
        </w:rPr>
        <w:t>+</w:t>
      </w:r>
      <w:r>
        <w:rPr>
          <w:rFonts w:hint="eastAsia" w:ascii="仿宋_GB2312" w:hAnsi="仿宋_GB2312" w:eastAsia="仿宋_GB2312" w:cs="仿宋_GB2312"/>
          <w:bCs/>
          <w:color w:val="auto"/>
          <w:sz w:val="32"/>
          <w:szCs w:val="32"/>
          <w:highlight w:val="none"/>
        </w:rPr>
        <w:t>ΣQ</w:t>
      </w:r>
      <w:r>
        <w:rPr>
          <w:rFonts w:hint="eastAsia" w:ascii="仿宋_GB2312" w:hAnsi="仿宋_GB2312" w:eastAsia="仿宋_GB2312" w:cs="仿宋_GB2312"/>
          <w:color w:val="auto"/>
          <w:kern w:val="2"/>
          <w:sz w:val="32"/>
          <w:szCs w:val="32"/>
          <w:highlight w:val="none"/>
          <w:vertAlign w:val="subscript"/>
          <w:lang w:val="en-US" w:eastAsia="zh-CN" w:bidi="ar-SA"/>
        </w:rPr>
        <w:t>省间受入,t</w:t>
      </w:r>
      <w:r>
        <w:rPr>
          <w:rFonts w:hint="eastAsia" w:ascii="仿宋_GB2312" w:hAnsi="仿宋_GB2312" w:eastAsia="仿宋_GB2312" w:cs="仿宋_GB2312"/>
          <w:bCs/>
          <w:color w:val="auto"/>
          <w:sz w:val="32"/>
          <w:szCs w:val="32"/>
          <w:highlight w:val="none"/>
        </w:rPr>
        <w:t>-ΣQ</w:t>
      </w:r>
      <w:r>
        <w:rPr>
          <w:rFonts w:hint="eastAsia" w:ascii="仿宋_GB2312" w:hAnsi="仿宋_GB2312" w:eastAsia="仿宋_GB2312" w:cs="仿宋_GB2312"/>
          <w:color w:val="auto"/>
          <w:kern w:val="2"/>
          <w:sz w:val="32"/>
          <w:szCs w:val="32"/>
          <w:highlight w:val="none"/>
          <w:vertAlign w:val="subscript"/>
          <w:lang w:val="en-US" w:eastAsia="zh-CN" w:bidi="ar-SA"/>
        </w:rPr>
        <w:t>省间送出,t</w:t>
      </w: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color w:val="auto"/>
          <w:kern w:val="2"/>
          <w:sz w:val="32"/>
          <w:szCs w:val="32"/>
          <w:highlight w:val="none"/>
          <w:vertAlign w:val="subscript"/>
          <w:lang w:val="en-US" w:eastAsia="zh-CN" w:bidi="ar-SA"/>
        </w:rPr>
        <w:t>总用电,t</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其中：</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color w:val="auto"/>
          <w:kern w:val="2"/>
          <w:sz w:val="32"/>
          <w:szCs w:val="32"/>
          <w:highlight w:val="none"/>
          <w:vertAlign w:val="subscript"/>
          <w:lang w:val="en-US" w:eastAsia="zh-CN" w:bidi="ar-SA"/>
        </w:rPr>
        <w:t>总上网结算,t</w:t>
      </w:r>
      <w:r>
        <w:rPr>
          <w:rFonts w:hint="eastAsia" w:ascii="仿宋_GB2312" w:hAnsi="仿宋_GB2312" w:eastAsia="仿宋_GB2312" w:cs="仿宋_GB2312"/>
          <w:bCs/>
          <w:color w:val="auto"/>
          <w:sz w:val="32"/>
          <w:szCs w:val="32"/>
          <w:highlight w:val="none"/>
        </w:rPr>
        <w:t>为市场机组T时段实际总上网</w:t>
      </w:r>
      <w:r>
        <w:rPr>
          <w:rFonts w:hint="eastAsia" w:ascii="仿宋_GB2312" w:hAnsi="仿宋_GB2312" w:eastAsia="仿宋_GB2312" w:cs="仿宋_GB2312"/>
          <w:bCs/>
          <w:color w:val="auto"/>
          <w:sz w:val="32"/>
          <w:szCs w:val="32"/>
          <w:highlight w:val="none"/>
          <w:lang w:eastAsia="zh-CN"/>
        </w:rPr>
        <w:t>市场结算</w:t>
      </w:r>
      <w:r>
        <w:rPr>
          <w:rFonts w:hint="eastAsia" w:ascii="仿宋_GB2312" w:hAnsi="仿宋_GB2312" w:eastAsia="仿宋_GB2312" w:cs="仿宋_GB2312"/>
          <w:bCs/>
          <w:color w:val="auto"/>
          <w:sz w:val="32"/>
          <w:szCs w:val="32"/>
          <w:highlight w:val="none"/>
        </w:rPr>
        <w:t>电量</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rPr>
        <w:t>已扣减该时段的优先计划电量；</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color w:val="auto"/>
          <w:kern w:val="2"/>
          <w:sz w:val="32"/>
          <w:szCs w:val="32"/>
          <w:highlight w:val="none"/>
          <w:vertAlign w:val="subscript"/>
          <w:lang w:val="en-US" w:eastAsia="zh-CN" w:bidi="ar-SA"/>
        </w:rPr>
        <w:t>总用电,t</w:t>
      </w:r>
      <w:r>
        <w:rPr>
          <w:rFonts w:hint="eastAsia" w:ascii="仿宋_GB2312" w:hAnsi="仿宋_GB2312" w:eastAsia="仿宋_GB2312" w:cs="仿宋_GB2312"/>
          <w:bCs/>
          <w:color w:val="auto"/>
          <w:sz w:val="32"/>
          <w:szCs w:val="32"/>
          <w:highlight w:val="none"/>
        </w:rPr>
        <w:t>为省内市场购电用户T时段实际用电量；</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kern w:val="2"/>
          <w:sz w:val="32"/>
          <w:szCs w:val="32"/>
          <w:highlight w:val="none"/>
          <w:vertAlign w:val="baseline"/>
          <w:lang w:val="en-US" w:eastAsia="zh-CN" w:bidi="ar-SA"/>
        </w:rPr>
      </w:pP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color w:val="auto"/>
          <w:kern w:val="2"/>
          <w:sz w:val="32"/>
          <w:szCs w:val="32"/>
          <w:highlight w:val="none"/>
          <w:vertAlign w:val="subscript"/>
          <w:lang w:val="en-US" w:eastAsia="zh-CN" w:bidi="ar-SA"/>
        </w:rPr>
        <w:t>跨省受入,t</w:t>
      </w:r>
      <w:r>
        <w:rPr>
          <w:rFonts w:hint="eastAsia" w:ascii="仿宋_GB2312" w:hAnsi="仿宋_GB2312" w:eastAsia="仿宋_GB2312" w:cs="仿宋_GB2312"/>
          <w:color w:val="auto"/>
          <w:kern w:val="2"/>
          <w:sz w:val="32"/>
          <w:szCs w:val="32"/>
          <w:highlight w:val="none"/>
          <w:vertAlign w:val="baseline"/>
          <w:lang w:val="en-US" w:eastAsia="zh-CN" w:bidi="ar-SA"/>
        </w:rPr>
        <w:t>为</w:t>
      </w:r>
      <w:r>
        <w:rPr>
          <w:rFonts w:hint="eastAsia" w:ascii="仿宋_GB2312" w:hAnsi="仿宋_GB2312" w:eastAsia="仿宋_GB2312" w:cs="仿宋_GB2312"/>
          <w:bCs/>
          <w:color w:val="auto"/>
          <w:sz w:val="32"/>
          <w:szCs w:val="32"/>
          <w:highlight w:val="none"/>
          <w:lang w:eastAsia="zh-CN"/>
        </w:rPr>
        <w:t>省间</w:t>
      </w:r>
      <w:r>
        <w:rPr>
          <w:rFonts w:hint="eastAsia" w:ascii="仿宋_GB2312" w:hAnsi="仿宋_GB2312" w:eastAsia="仿宋_GB2312" w:cs="仿宋_GB2312"/>
          <w:bCs/>
          <w:color w:val="auto"/>
          <w:sz w:val="32"/>
          <w:szCs w:val="32"/>
          <w:highlight w:val="none"/>
        </w:rPr>
        <w:t>送电类别T时段</w:t>
      </w:r>
      <w:r>
        <w:rPr>
          <w:rFonts w:hint="eastAsia" w:ascii="仿宋_GB2312" w:hAnsi="仿宋_GB2312" w:eastAsia="仿宋_GB2312" w:cs="仿宋_GB2312"/>
          <w:bCs/>
          <w:color w:val="auto"/>
          <w:sz w:val="32"/>
          <w:szCs w:val="32"/>
          <w:highlight w:val="none"/>
          <w:lang w:eastAsia="zh-CN"/>
        </w:rPr>
        <w:t>落地侧</w:t>
      </w:r>
      <w:r>
        <w:rPr>
          <w:rFonts w:hint="eastAsia" w:ascii="仿宋_GB2312" w:hAnsi="仿宋_GB2312" w:eastAsia="仿宋_GB2312" w:cs="仿宋_GB2312"/>
          <w:bCs/>
          <w:color w:val="auto"/>
          <w:sz w:val="32"/>
          <w:szCs w:val="32"/>
          <w:highlight w:val="none"/>
        </w:rPr>
        <w:t>结算电量</w:t>
      </w:r>
      <w:r>
        <w:rPr>
          <w:rFonts w:hint="eastAsia" w:ascii="仿宋_GB2312" w:hAnsi="仿宋_GB2312" w:eastAsia="仿宋_GB2312" w:cs="仿宋_GB2312"/>
          <w:bCs/>
          <w:color w:val="auto"/>
          <w:sz w:val="32"/>
          <w:szCs w:val="32"/>
          <w:highlight w:val="none"/>
          <w:lang w:eastAsia="zh-CN"/>
        </w:rPr>
        <w:t>；</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lang w:eastAsia="zh-CN"/>
        </w:rPr>
      </w:pP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color w:val="auto"/>
          <w:kern w:val="2"/>
          <w:sz w:val="32"/>
          <w:szCs w:val="32"/>
          <w:highlight w:val="none"/>
          <w:vertAlign w:val="subscript"/>
          <w:lang w:val="en-US" w:eastAsia="zh-CN" w:bidi="ar-SA"/>
        </w:rPr>
        <w:t>跨省送出,t</w:t>
      </w:r>
      <w:r>
        <w:rPr>
          <w:rFonts w:hint="eastAsia" w:ascii="仿宋_GB2312" w:hAnsi="仿宋_GB2312" w:eastAsia="仿宋_GB2312" w:cs="仿宋_GB2312"/>
          <w:bCs/>
          <w:color w:val="auto"/>
          <w:sz w:val="32"/>
          <w:szCs w:val="32"/>
          <w:highlight w:val="none"/>
        </w:rPr>
        <w:t>为</w:t>
      </w:r>
      <w:r>
        <w:rPr>
          <w:rFonts w:hint="eastAsia" w:ascii="仿宋_GB2312" w:hAnsi="仿宋_GB2312" w:eastAsia="仿宋_GB2312" w:cs="仿宋_GB2312"/>
          <w:bCs/>
          <w:color w:val="auto"/>
          <w:sz w:val="32"/>
          <w:szCs w:val="32"/>
          <w:highlight w:val="none"/>
          <w:lang w:eastAsia="zh-CN"/>
        </w:rPr>
        <w:t>省间</w:t>
      </w:r>
      <w:r>
        <w:rPr>
          <w:rFonts w:hint="eastAsia" w:ascii="仿宋_GB2312" w:hAnsi="仿宋_GB2312" w:eastAsia="仿宋_GB2312" w:cs="仿宋_GB2312"/>
          <w:bCs/>
          <w:color w:val="auto"/>
          <w:sz w:val="32"/>
          <w:szCs w:val="32"/>
          <w:highlight w:val="none"/>
        </w:rPr>
        <w:t>送电类别T时段</w:t>
      </w:r>
      <w:r>
        <w:rPr>
          <w:rFonts w:hint="eastAsia" w:ascii="仿宋_GB2312" w:hAnsi="仿宋_GB2312" w:eastAsia="仿宋_GB2312" w:cs="仿宋_GB2312"/>
          <w:bCs/>
          <w:color w:val="auto"/>
          <w:sz w:val="32"/>
          <w:szCs w:val="32"/>
          <w:highlight w:val="none"/>
          <w:lang w:eastAsia="zh-CN"/>
        </w:rPr>
        <w:t>送出侧</w:t>
      </w:r>
      <w:r>
        <w:rPr>
          <w:rFonts w:hint="eastAsia" w:ascii="仿宋_GB2312" w:hAnsi="仿宋_GB2312" w:eastAsia="仿宋_GB2312" w:cs="仿宋_GB2312"/>
          <w:bCs/>
          <w:color w:val="auto"/>
          <w:sz w:val="32"/>
          <w:szCs w:val="32"/>
          <w:highlight w:val="none"/>
        </w:rPr>
        <w:t>结算电量</w:t>
      </w:r>
      <w:r>
        <w:rPr>
          <w:rFonts w:hint="eastAsia" w:ascii="仿宋_GB2312" w:hAnsi="仿宋_GB2312" w:eastAsia="仿宋_GB2312" w:cs="仿宋_GB2312"/>
          <w:bCs/>
          <w:color w:val="auto"/>
          <w:sz w:val="32"/>
          <w:szCs w:val="32"/>
          <w:highlight w:val="none"/>
          <w:lang w:eastAsia="zh-CN"/>
        </w:rPr>
        <w:t>。</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5.3.5省间中长期合约阻塞费用</w:t>
      </w:r>
    </w:p>
    <w:p>
      <w:pPr>
        <w:pStyle w:val="22"/>
        <w:ind w:left="0" w:leftChars="0" w:firstLine="640" w:firstLineChars="200"/>
        <w:rPr>
          <w:rFonts w:hint="default"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vertAlign w:val="baseline"/>
          <w:lang w:val="en-US" w:eastAsia="zh-CN"/>
        </w:rPr>
        <w:t>C</w:t>
      </w:r>
      <w:r>
        <w:rPr>
          <w:rFonts w:hint="eastAsia" w:ascii="仿宋_GB2312" w:hAnsi="仿宋_GB2312" w:eastAsia="仿宋_GB2312" w:cs="仿宋_GB2312"/>
          <w:bCs/>
          <w:color w:val="auto"/>
          <w:sz w:val="32"/>
          <w:szCs w:val="32"/>
          <w:highlight w:val="none"/>
          <w:vertAlign w:val="subscript"/>
          <w:lang w:val="en-US" w:eastAsia="zh-CN"/>
        </w:rPr>
        <w:t>省间中长期合约阻塞（送端）</w:t>
      </w:r>
      <w:r>
        <w:rPr>
          <w:rFonts w:hint="eastAsia" w:ascii="仿宋_GB2312" w:hAnsi="仿宋_GB2312" w:eastAsia="仿宋_GB2312" w:cs="仿宋_GB2312"/>
          <w:bCs/>
          <w:color w:val="auto"/>
          <w:sz w:val="32"/>
          <w:szCs w:val="32"/>
          <w:highlight w:val="none"/>
          <w:vertAlign w:val="baseline"/>
          <w:lang w:val="en-US" w:eastAsia="zh-CN"/>
        </w:rPr>
        <w:t>=</w:t>
      </w:r>
      <w:r>
        <w:rPr>
          <w:rFonts w:hint="eastAsia" w:ascii="仿宋_GB2312" w:hAnsi="仿宋_GB2312" w:eastAsia="仿宋_GB2312" w:cs="仿宋_GB2312"/>
          <w:bCs/>
          <w:color w:val="auto"/>
          <w:sz w:val="32"/>
          <w:szCs w:val="32"/>
          <w:highlight w:val="none"/>
        </w:rPr>
        <w:t>Σ[ΣQ</w:t>
      </w:r>
      <w:r>
        <w:rPr>
          <w:rFonts w:hint="eastAsia" w:ascii="仿宋_GB2312" w:hAnsi="仿宋_GB2312" w:eastAsia="仿宋_GB2312" w:cs="仿宋_GB2312"/>
          <w:bCs/>
          <w:color w:val="auto"/>
          <w:sz w:val="32"/>
          <w:szCs w:val="32"/>
          <w:highlight w:val="none"/>
          <w:vertAlign w:val="subscript"/>
          <w:lang w:eastAsia="zh-CN"/>
        </w:rPr>
        <w:t>省间</w:t>
      </w:r>
      <w:r>
        <w:rPr>
          <w:rFonts w:hint="eastAsia" w:ascii="仿宋_GB2312" w:hAnsi="仿宋_GB2312" w:eastAsia="仿宋_GB2312" w:cs="仿宋_GB2312"/>
          <w:bCs/>
          <w:color w:val="auto"/>
          <w:sz w:val="32"/>
          <w:szCs w:val="32"/>
          <w:highlight w:val="none"/>
          <w:vertAlign w:val="subscript"/>
        </w:rPr>
        <w:t>中长期合约,t</w:t>
      </w:r>
      <w:r>
        <w:rPr>
          <w:rFonts w:hint="eastAsia" w:ascii="仿宋_GB2312" w:hAnsi="仿宋_GB2312" w:eastAsia="仿宋_GB2312" w:cs="仿宋_GB2312"/>
          <w:bCs/>
          <w:color w:val="auto"/>
          <w:sz w:val="32"/>
          <w:szCs w:val="32"/>
          <w:highlight w:val="none"/>
        </w:rPr>
        <w:t>×</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bCs/>
          <w:color w:val="auto"/>
          <w:sz w:val="32"/>
          <w:szCs w:val="32"/>
          <w:highlight w:val="none"/>
          <w:vertAlign w:val="subscript"/>
          <w:lang w:eastAsia="zh-CN"/>
        </w:rPr>
        <w:t>落地侧日前</w:t>
      </w:r>
      <w:r>
        <w:rPr>
          <w:rFonts w:hint="eastAsia" w:ascii="仿宋_GB2312" w:hAnsi="仿宋_GB2312" w:eastAsia="仿宋_GB2312" w:cs="仿宋_GB2312"/>
          <w:bCs/>
          <w:color w:val="auto"/>
          <w:sz w:val="32"/>
          <w:szCs w:val="32"/>
          <w:highlight w:val="none"/>
          <w:vertAlign w:val="subscript"/>
        </w:rPr>
        <w:t>,t</w:t>
      </w:r>
      <w:r>
        <w:rPr>
          <w:rFonts w:hint="eastAsia" w:ascii="仿宋_GB2312" w:hAnsi="仿宋_GB2312" w:eastAsia="仿宋_GB2312" w:cs="仿宋_GB2312"/>
          <w:bCs/>
          <w:color w:val="auto"/>
          <w:sz w:val="32"/>
          <w:szCs w:val="32"/>
          <w:highlight w:val="none"/>
          <w:vertAlign w:val="baseline"/>
          <w:lang w:val="en-US" w:eastAsia="zh-CN"/>
        </w:rPr>
        <w:t>-</w:t>
      </w: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bCs/>
          <w:color w:val="auto"/>
          <w:sz w:val="32"/>
          <w:szCs w:val="32"/>
          <w:highlight w:val="none"/>
          <w:vertAlign w:val="subscript"/>
          <w:lang w:eastAsia="zh-CN"/>
        </w:rPr>
        <w:t>日前统一</w:t>
      </w:r>
      <w:r>
        <w:rPr>
          <w:rFonts w:hint="eastAsia" w:ascii="仿宋_GB2312" w:hAnsi="仿宋_GB2312" w:eastAsia="仿宋_GB2312" w:cs="仿宋_GB2312"/>
          <w:bCs/>
          <w:color w:val="auto"/>
          <w:sz w:val="32"/>
          <w:szCs w:val="32"/>
          <w:highlight w:val="none"/>
          <w:vertAlign w:val="subscript"/>
        </w:rPr>
        <w:t>,t</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lang w:val="en-US" w:eastAsia="zh-CN"/>
        </w:rPr>
        <w:t>]</w:t>
      </w:r>
    </w:p>
    <w:p>
      <w:pPr>
        <w:pStyle w:val="22"/>
        <w:ind w:left="0" w:leftChars="0" w:firstLine="640" w:firstLineChars="200"/>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其中：</w:t>
      </w:r>
    </w:p>
    <w:p>
      <w:pPr>
        <w:pStyle w:val="22"/>
        <w:ind w:left="0" w:leftChars="0" w:firstLine="640" w:firstLineChars="200"/>
        <w:rPr>
          <w:rFonts w:hint="eastAsia" w:ascii="仿宋_GB2312" w:hAnsi="仿宋_GB2312" w:eastAsia="仿宋_GB2312" w:cs="仿宋_GB2312"/>
          <w:bCs/>
          <w:color w:val="auto"/>
          <w:sz w:val="32"/>
          <w:szCs w:val="32"/>
          <w:highlight w:val="none"/>
          <w:vertAlign w:val="baseline"/>
          <w:lang w:val="en-US" w:eastAsia="zh-CN"/>
        </w:rPr>
      </w:pPr>
      <w:r>
        <w:rPr>
          <w:rFonts w:hint="eastAsia" w:ascii="仿宋_GB2312" w:hAnsi="仿宋_GB2312" w:eastAsia="仿宋_GB2312" w:cs="仿宋_GB2312"/>
          <w:bCs/>
          <w:color w:val="auto"/>
          <w:sz w:val="32"/>
          <w:szCs w:val="32"/>
          <w:highlight w:val="none"/>
          <w:vertAlign w:val="baseline"/>
          <w:lang w:val="en-US" w:eastAsia="zh-CN"/>
        </w:rPr>
        <w:t>C</w:t>
      </w:r>
      <w:r>
        <w:rPr>
          <w:rFonts w:hint="eastAsia" w:ascii="仿宋_GB2312" w:hAnsi="仿宋_GB2312" w:eastAsia="仿宋_GB2312" w:cs="仿宋_GB2312"/>
          <w:bCs/>
          <w:color w:val="auto"/>
          <w:sz w:val="32"/>
          <w:szCs w:val="32"/>
          <w:highlight w:val="none"/>
          <w:vertAlign w:val="subscript"/>
          <w:lang w:val="en-US" w:eastAsia="zh-CN"/>
        </w:rPr>
        <w:t>省间中长期合约阻塞</w:t>
      </w:r>
      <w:r>
        <w:rPr>
          <w:rFonts w:hint="eastAsia" w:ascii="仿宋_GB2312" w:hAnsi="仿宋_GB2312" w:eastAsia="仿宋_GB2312" w:cs="仿宋_GB2312"/>
          <w:bCs/>
          <w:color w:val="auto"/>
          <w:sz w:val="32"/>
          <w:szCs w:val="32"/>
          <w:highlight w:val="none"/>
          <w:vertAlign w:val="baseline"/>
          <w:lang w:val="en-US" w:eastAsia="zh-CN"/>
        </w:rPr>
        <w:t>为省间中长期合约阻塞电费；</w:t>
      </w:r>
    </w:p>
    <w:p>
      <w:pPr>
        <w:pStyle w:val="22"/>
        <w:ind w:left="0" w:leftChars="0"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bCs/>
          <w:color w:val="auto"/>
          <w:sz w:val="32"/>
          <w:szCs w:val="32"/>
          <w:highlight w:val="none"/>
          <w:vertAlign w:val="subscript"/>
          <w:lang w:eastAsia="zh-CN"/>
        </w:rPr>
        <w:t>省内</w:t>
      </w:r>
      <w:r>
        <w:rPr>
          <w:rFonts w:hint="eastAsia" w:ascii="仿宋_GB2312" w:hAnsi="仿宋_GB2312" w:eastAsia="仿宋_GB2312" w:cs="仿宋_GB2312"/>
          <w:bCs/>
          <w:color w:val="auto"/>
          <w:sz w:val="32"/>
          <w:szCs w:val="32"/>
          <w:highlight w:val="none"/>
          <w:vertAlign w:val="subscript"/>
        </w:rPr>
        <w:t>中长期合约,t</w:t>
      </w:r>
      <w:r>
        <w:rPr>
          <w:rFonts w:hint="eastAsia" w:ascii="仿宋_GB2312" w:hAnsi="仿宋_GB2312" w:eastAsia="仿宋_GB2312" w:cs="仿宋_GB2312"/>
          <w:bCs/>
          <w:color w:val="auto"/>
          <w:sz w:val="32"/>
          <w:szCs w:val="32"/>
          <w:highlight w:val="none"/>
        </w:rPr>
        <w:t>为T时段</w:t>
      </w:r>
      <w:r>
        <w:rPr>
          <w:rFonts w:hint="eastAsia" w:ascii="仿宋_GB2312" w:hAnsi="仿宋_GB2312" w:eastAsia="仿宋_GB2312" w:cs="仿宋_GB2312"/>
          <w:bCs/>
          <w:color w:val="auto"/>
          <w:sz w:val="32"/>
          <w:szCs w:val="32"/>
          <w:highlight w:val="none"/>
          <w:lang w:eastAsia="zh-CN"/>
        </w:rPr>
        <w:t>参与省间</w:t>
      </w:r>
      <w:r>
        <w:rPr>
          <w:rFonts w:hint="eastAsia" w:ascii="仿宋_GB2312" w:hAnsi="仿宋_GB2312" w:eastAsia="仿宋_GB2312" w:cs="仿宋_GB2312"/>
          <w:bCs/>
          <w:color w:val="auto"/>
          <w:sz w:val="32"/>
          <w:szCs w:val="32"/>
          <w:highlight w:val="none"/>
        </w:rPr>
        <w:t>中长期合约电量；</w:t>
      </w:r>
    </w:p>
    <w:p>
      <w:pPr>
        <w:pStyle w:val="22"/>
        <w:ind w:left="0" w:leftChars="0" w:firstLine="640" w:firstLineChars="200"/>
        <w:rPr>
          <w:rFonts w:hint="default"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bCs/>
          <w:color w:val="auto"/>
          <w:sz w:val="32"/>
          <w:szCs w:val="32"/>
          <w:highlight w:val="none"/>
          <w:vertAlign w:val="subscript"/>
          <w:lang w:eastAsia="zh-CN"/>
        </w:rPr>
        <w:t>落地侧日前</w:t>
      </w:r>
      <w:r>
        <w:rPr>
          <w:rFonts w:hint="eastAsia" w:ascii="仿宋_GB2312" w:hAnsi="仿宋_GB2312" w:eastAsia="仿宋_GB2312" w:cs="仿宋_GB2312"/>
          <w:bCs/>
          <w:color w:val="auto"/>
          <w:sz w:val="32"/>
          <w:szCs w:val="32"/>
          <w:highlight w:val="none"/>
          <w:vertAlign w:val="subscript"/>
        </w:rPr>
        <w:t>,t</w:t>
      </w:r>
      <w:r>
        <w:rPr>
          <w:rFonts w:hint="eastAsia" w:ascii="仿宋_GB2312" w:hAnsi="仿宋_GB2312" w:eastAsia="仿宋_GB2312" w:cs="仿宋_GB2312"/>
          <w:bCs/>
          <w:color w:val="auto"/>
          <w:sz w:val="32"/>
          <w:szCs w:val="32"/>
          <w:highlight w:val="none"/>
          <w:vertAlign w:val="baseline"/>
          <w:lang w:eastAsia="zh-CN"/>
        </w:rPr>
        <w:t>为对应的“网对网”送电类别落地侧</w:t>
      </w:r>
      <w:r>
        <w:rPr>
          <w:rFonts w:hint="eastAsia" w:ascii="仿宋_GB2312" w:hAnsi="仿宋_GB2312" w:eastAsia="仿宋_GB2312" w:cs="仿宋_GB2312"/>
          <w:bCs/>
          <w:color w:val="auto"/>
          <w:sz w:val="32"/>
          <w:szCs w:val="32"/>
          <w:highlight w:val="none"/>
          <w:vertAlign w:val="baseline"/>
          <w:lang w:val="en-US" w:eastAsia="zh-CN"/>
        </w:rPr>
        <w:t>T时段日前结算电价；</w:t>
      </w:r>
    </w:p>
    <w:p>
      <w:pPr>
        <w:pStyle w:val="22"/>
        <w:ind w:left="0" w:leftChars="0" w:firstLine="640" w:firstLineChars="200"/>
        <w:rPr>
          <w:rFonts w:hint="eastAsia" w:ascii="仿宋_GB2312" w:hAnsi="仿宋_GB2312" w:eastAsia="仿宋_GB2312" w:cs="仿宋_GB2312"/>
          <w:bCs/>
          <w:color w:val="auto"/>
          <w:sz w:val="32"/>
          <w:szCs w:val="32"/>
          <w:highlight w:val="none"/>
          <w:lang w:eastAsia="zh-CN"/>
        </w:rPr>
      </w:pP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bCs/>
          <w:color w:val="auto"/>
          <w:sz w:val="32"/>
          <w:szCs w:val="32"/>
          <w:highlight w:val="none"/>
          <w:vertAlign w:val="subscript"/>
        </w:rPr>
        <w:t>日前统一,t</w:t>
      </w:r>
      <w:r>
        <w:rPr>
          <w:rFonts w:hint="eastAsia" w:ascii="仿宋_GB2312" w:hAnsi="仿宋_GB2312" w:eastAsia="仿宋_GB2312" w:cs="仿宋_GB2312"/>
          <w:bCs/>
          <w:color w:val="auto"/>
          <w:sz w:val="32"/>
          <w:szCs w:val="32"/>
          <w:highlight w:val="none"/>
        </w:rPr>
        <w:t>为日前市场T时段统一结算点电价</w:t>
      </w:r>
      <w:r>
        <w:rPr>
          <w:rFonts w:hint="eastAsia" w:ascii="仿宋_GB2312" w:hAnsi="仿宋_GB2312" w:eastAsia="仿宋_GB2312" w:cs="仿宋_GB2312"/>
          <w:bCs/>
          <w:color w:val="auto"/>
          <w:sz w:val="32"/>
          <w:szCs w:val="32"/>
          <w:highlight w:val="none"/>
          <w:lang w:eastAsia="zh-CN"/>
        </w:rPr>
        <w:t>。</w:t>
      </w:r>
    </w:p>
    <w:p>
      <w:pPr>
        <w:pStyle w:val="65"/>
        <w:keepNext w:val="0"/>
        <w:keepLines w:val="0"/>
        <w:pageBreakBefore w:val="0"/>
        <w:widowControl w:val="0"/>
        <w:numPr>
          <w:ilvl w:val="0"/>
          <w:numId w:val="10"/>
        </w:numP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黑体" w:hAnsi="黑体" w:eastAsia="黑体" w:cs="黑体"/>
          <w:color w:val="auto"/>
          <w:sz w:val="32"/>
          <w:szCs w:val="32"/>
          <w:highlight w:val="none"/>
          <w:lang w:val="zh-CN"/>
        </w:rPr>
      </w:pPr>
      <w:bookmarkStart w:id="118" w:name="_Toc17930"/>
      <w:bookmarkStart w:id="119" w:name="_Toc25795"/>
      <w:bookmarkStart w:id="120" w:name="_Toc15666"/>
      <w:bookmarkStart w:id="121" w:name="_Toc30408"/>
      <w:bookmarkStart w:id="122" w:name="_Toc24331"/>
      <w:bookmarkStart w:id="123" w:name="_Toc32758"/>
      <w:bookmarkStart w:id="124" w:name="_Toc497940087"/>
      <w:bookmarkStart w:id="125" w:name="_Toc504638448"/>
      <w:bookmarkStart w:id="126" w:name="_Toc5264"/>
      <w:bookmarkStart w:id="127" w:name="_Toc17997"/>
      <w:bookmarkStart w:id="128" w:name="_Toc17693"/>
      <w:bookmarkStart w:id="129" w:name="_Toc31357"/>
      <w:bookmarkStart w:id="130" w:name="_Toc30243"/>
      <w:bookmarkStart w:id="131" w:name="_Toc8371"/>
      <w:bookmarkStart w:id="132" w:name="_Toc29549"/>
      <w:bookmarkStart w:id="133" w:name="_Toc8121"/>
      <w:bookmarkStart w:id="134" w:name="_Toc9857"/>
      <w:bookmarkStart w:id="135" w:name="_Toc2384"/>
      <w:bookmarkStart w:id="136" w:name="_Toc17944"/>
      <w:bookmarkStart w:id="137" w:name="_Toc32279"/>
      <w:bookmarkStart w:id="138" w:name="_Toc63"/>
      <w:bookmarkStart w:id="139" w:name="_Toc21514"/>
      <w:r>
        <w:rPr>
          <w:rFonts w:hint="eastAsia" w:ascii="黑体" w:hAnsi="黑体" w:eastAsia="黑体" w:cs="黑体"/>
          <w:color w:val="auto"/>
          <w:sz w:val="32"/>
          <w:szCs w:val="32"/>
          <w:highlight w:val="none"/>
          <w:lang w:val="zh-CN"/>
        </w:rPr>
        <w:t>零售市场结算</w:t>
      </w:r>
    </w:p>
    <w:p>
      <w:pPr>
        <w:pStyle w:val="66"/>
        <w:keepNext w:val="0"/>
        <w:keepLines w:val="0"/>
        <w:pageBreakBefore w:val="0"/>
        <w:widowControl w:val="0"/>
        <w:numPr>
          <w:ilvl w:val="1"/>
          <w:numId w:val="10"/>
        </w:numPr>
        <w:kinsoku/>
        <w:wordWrap/>
        <w:overflowPunct/>
        <w:topLinePunct w:val="0"/>
        <w:autoSpaceDE/>
        <w:autoSpaceDN/>
        <w:bidi w:val="0"/>
        <w:adjustRightInd/>
        <w:snapToGrid/>
        <w:spacing w:line="560" w:lineRule="exact"/>
        <w:ind w:left="0" w:leftChars="0" w:firstLine="643" w:firstLineChars="200"/>
        <w:textAlignment w:val="auto"/>
        <w:outlineLvl w:val="1"/>
        <w:rPr>
          <w:rFonts w:hint="eastAsia" w:ascii="仿宋_GB2312" w:hAnsi="仿宋_GB2312" w:eastAsia="仿宋_GB2312" w:cs="仿宋_GB2312"/>
          <w:b/>
          <w:bCs/>
          <w:color w:val="auto"/>
          <w:sz w:val="32"/>
          <w:szCs w:val="32"/>
          <w:highlight w:val="none"/>
        </w:rPr>
      </w:pPr>
      <w:bookmarkStart w:id="140" w:name="_Toc13477"/>
      <w:bookmarkStart w:id="141" w:name="_Toc31334"/>
      <w:r>
        <w:rPr>
          <w:rFonts w:hint="eastAsia" w:ascii="仿宋_GB2312" w:hAnsi="仿宋_GB2312" w:eastAsia="仿宋_GB2312" w:cs="仿宋_GB2312"/>
          <w:b/>
          <w:bCs/>
          <w:color w:val="auto"/>
          <w:sz w:val="32"/>
          <w:szCs w:val="32"/>
          <w:highlight w:val="none"/>
        </w:rPr>
        <w:t>零售市场电能量费用结算</w:t>
      </w:r>
      <w:bookmarkEnd w:id="140"/>
      <w:bookmarkEnd w:id="141"/>
    </w:p>
    <w:p>
      <w:pPr>
        <w:pStyle w:val="67"/>
        <w:keepNext w:val="0"/>
        <w:keepLines w:val="0"/>
        <w:pageBreakBefore w:val="0"/>
        <w:widowControl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bookmarkStart w:id="142" w:name="_Toc9473"/>
      <w:bookmarkStart w:id="143" w:name="_Toc3215"/>
      <w:r>
        <w:rPr>
          <w:rFonts w:hint="eastAsia" w:ascii="仿宋_GB2312" w:hAnsi="仿宋_GB2312" w:eastAsia="仿宋_GB2312" w:cs="仿宋_GB2312"/>
          <w:color w:val="auto"/>
          <w:sz w:val="32"/>
          <w:szCs w:val="32"/>
          <w:highlight w:val="none"/>
        </w:rPr>
        <w:t>交易中心负责零售合同登记和结算的统一管理。</w:t>
      </w:r>
    </w:p>
    <w:p>
      <w:pPr>
        <w:pStyle w:val="67"/>
        <w:keepNext w:val="0"/>
        <w:keepLines w:val="0"/>
        <w:pageBreakBefore w:val="0"/>
        <w:widowControl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售电公司和零售用户开展电能量零售交易必须签订零售合同，由售电公司将零售合同上传至交易系统，完成填报合同起止时间、交易电量、零售结算模式等关键信息，并经电力用户确认后完成零售合同登记备案。零售合同有修改或变更，应及时在交易系统重新登记备案。</w:t>
      </w:r>
    </w:p>
    <w:p>
      <w:pPr>
        <w:pStyle w:val="67"/>
        <w:keepNext w:val="0"/>
        <w:keepLines w:val="0"/>
        <w:pageBreakBefore w:val="0"/>
        <w:widowControl w:val="0"/>
        <w:numPr>
          <w:ilvl w:val="2"/>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交易中心以月度为周期开展电能量零售结算，根据实际用电量及交易系统最终固化的零售合同补充协议中的零售结算模式计算零售用户电能量电费。</w:t>
      </w:r>
    </w:p>
    <w:p>
      <w:pPr>
        <w:pStyle w:val="66"/>
        <w:keepNext w:val="0"/>
        <w:keepLines w:val="0"/>
        <w:pageBreakBefore w:val="0"/>
        <w:widowControl w:val="0"/>
        <w:numPr>
          <w:ilvl w:val="1"/>
          <w:numId w:val="10"/>
        </w:numPr>
        <w:kinsoku/>
        <w:wordWrap/>
        <w:overflowPunct/>
        <w:topLinePunct w:val="0"/>
        <w:autoSpaceDE/>
        <w:autoSpaceDN/>
        <w:bidi w:val="0"/>
        <w:adjustRightInd/>
        <w:snapToGrid/>
        <w:spacing w:line="560" w:lineRule="exact"/>
        <w:ind w:left="0" w:leftChars="0" w:firstLine="643" w:firstLineChars="200"/>
        <w:textAlignment w:val="auto"/>
        <w:outlineLvl w:val="1"/>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售电公司收益结算</w:t>
      </w:r>
    </w:p>
    <w:p>
      <w:pPr>
        <w:pStyle w:val="31"/>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售电公司在零售市场中应收取的电费总额</w:t>
      </w:r>
      <w:r>
        <w:rPr>
          <w:rFonts w:hint="eastAsia" w:ascii="仿宋_GB2312" w:hAnsi="仿宋_GB2312" w:eastAsia="仿宋_GB2312" w:cs="仿宋_GB2312"/>
          <w:bCs/>
          <w:color w:val="auto"/>
          <w:sz w:val="32"/>
          <w:szCs w:val="32"/>
          <w:highlight w:val="none"/>
          <w:lang w:eastAsia="zh-CN"/>
        </w:rPr>
        <w:t>（不含零售用户的峰谷浮动电费）</w:t>
      </w:r>
      <w:r>
        <w:rPr>
          <w:rFonts w:hint="eastAsia" w:ascii="仿宋_GB2312" w:hAnsi="仿宋_GB2312" w:eastAsia="仿宋_GB2312" w:cs="仿宋_GB2312"/>
          <w:bCs/>
          <w:color w:val="auto"/>
          <w:sz w:val="32"/>
          <w:szCs w:val="32"/>
          <w:highlight w:val="none"/>
        </w:rPr>
        <w:t>，减去售电公司在批发市场应支付的电费</w:t>
      </w:r>
      <w:r>
        <w:rPr>
          <w:rFonts w:hint="eastAsia" w:ascii="仿宋_GB2312" w:hAnsi="仿宋_GB2312" w:eastAsia="仿宋_GB2312" w:cs="仿宋_GB2312"/>
          <w:bCs/>
          <w:color w:val="auto"/>
          <w:sz w:val="32"/>
          <w:szCs w:val="32"/>
          <w:highlight w:val="none"/>
          <w:lang w:eastAsia="zh-CN"/>
        </w:rPr>
        <w:t>总额</w:t>
      </w:r>
      <w:r>
        <w:rPr>
          <w:rFonts w:hint="eastAsia" w:ascii="仿宋_GB2312" w:hAnsi="仿宋_GB2312" w:eastAsia="仿宋_GB2312" w:cs="仿宋_GB2312"/>
          <w:bCs/>
          <w:color w:val="auto"/>
          <w:sz w:val="32"/>
          <w:szCs w:val="32"/>
          <w:highlight w:val="none"/>
        </w:rPr>
        <w:t>，作为售电公司</w:t>
      </w:r>
      <w:r>
        <w:rPr>
          <w:rFonts w:hint="eastAsia" w:ascii="仿宋_GB2312" w:hAnsi="仿宋_GB2312" w:eastAsia="仿宋_GB2312" w:cs="仿宋_GB2312"/>
          <w:bCs/>
          <w:color w:val="auto"/>
          <w:sz w:val="32"/>
          <w:szCs w:val="32"/>
          <w:highlight w:val="none"/>
          <w:lang w:eastAsia="zh-CN"/>
        </w:rPr>
        <w:t>的收益</w:t>
      </w:r>
      <w:r>
        <w:rPr>
          <w:rFonts w:hint="eastAsia" w:ascii="仿宋_GB2312" w:hAnsi="仿宋_GB2312" w:eastAsia="仿宋_GB2312" w:cs="仿宋_GB2312"/>
          <w:bCs/>
          <w:color w:val="auto"/>
          <w:sz w:val="32"/>
          <w:szCs w:val="32"/>
          <w:highlight w:val="none"/>
        </w:rPr>
        <w:t>。</w:t>
      </w:r>
    </w:p>
    <w:p>
      <w:pPr>
        <w:pStyle w:val="66"/>
        <w:keepNext w:val="0"/>
        <w:keepLines w:val="0"/>
        <w:pageBreakBefore w:val="0"/>
        <w:widowControl w:val="0"/>
        <w:numPr>
          <w:ilvl w:val="1"/>
          <w:numId w:val="10"/>
        </w:numPr>
        <w:kinsoku/>
        <w:wordWrap/>
        <w:overflowPunct/>
        <w:topLinePunct w:val="0"/>
        <w:autoSpaceDE/>
        <w:autoSpaceDN/>
        <w:bidi w:val="0"/>
        <w:adjustRightInd/>
        <w:snapToGrid/>
        <w:spacing w:line="560" w:lineRule="exact"/>
        <w:ind w:left="0" w:leftChars="0" w:firstLine="643" w:firstLineChars="200"/>
        <w:textAlignment w:val="auto"/>
        <w:outlineLvl w:val="1"/>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保底售电</w:t>
      </w:r>
    </w:p>
    <w:p>
      <w:pPr>
        <w:keepNext w:val="0"/>
        <w:keepLines w:val="0"/>
        <w:widowControl/>
        <w:suppressLineNumbers w:val="0"/>
        <w:ind w:firstLine="620" w:firstLineChars="200"/>
        <w:jc w:val="left"/>
        <w:rPr>
          <w:color w:val="auto"/>
          <w:highlight w:val="none"/>
        </w:rPr>
      </w:pPr>
      <w:r>
        <w:rPr>
          <w:rFonts w:ascii="仿宋_GB2312" w:hAnsi="宋体" w:eastAsia="仿宋_GB2312" w:cs="仿宋_GB2312"/>
          <w:color w:val="auto"/>
          <w:kern w:val="0"/>
          <w:sz w:val="31"/>
          <w:szCs w:val="31"/>
          <w:highlight w:val="none"/>
          <w:lang w:val="en-US" w:eastAsia="zh-CN" w:bidi="ar"/>
        </w:rPr>
        <w:t>零售用户启动保底售电的，由保底售电公司为其提供保</w:t>
      </w:r>
      <w:r>
        <w:rPr>
          <w:rFonts w:hint="eastAsia" w:ascii="仿宋_GB2312" w:hAnsi="宋体" w:eastAsia="仿宋_GB2312" w:cs="仿宋_GB2312"/>
          <w:color w:val="auto"/>
          <w:kern w:val="0"/>
          <w:sz w:val="31"/>
          <w:szCs w:val="31"/>
          <w:highlight w:val="none"/>
          <w:lang w:val="en-US" w:eastAsia="zh-CN" w:bidi="ar"/>
        </w:rPr>
        <w:t>底售电服务，保底售电公司和保底零售用户结算按照《海南电力市场保底售电实施方案（试行）》规定执行。</w:t>
      </w:r>
    </w:p>
    <w:p>
      <w:pPr>
        <w:pStyle w:val="66"/>
        <w:keepNext w:val="0"/>
        <w:keepLines w:val="0"/>
        <w:pageBreakBefore w:val="0"/>
        <w:widowControl w:val="0"/>
        <w:numPr>
          <w:ilvl w:val="1"/>
          <w:numId w:val="10"/>
        </w:numPr>
        <w:kinsoku/>
        <w:wordWrap/>
        <w:overflowPunct/>
        <w:topLinePunct w:val="0"/>
        <w:autoSpaceDE/>
        <w:autoSpaceDN/>
        <w:bidi w:val="0"/>
        <w:adjustRightInd/>
        <w:snapToGrid/>
        <w:spacing w:line="560" w:lineRule="exact"/>
        <w:ind w:left="0" w:leftChars="0" w:firstLine="643" w:firstLineChars="200"/>
        <w:textAlignment w:val="auto"/>
        <w:outlineLvl w:val="1"/>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其他费用收取</w:t>
      </w:r>
    </w:p>
    <w:p>
      <w:pPr>
        <w:pStyle w:val="31"/>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电力用户（包括批发用户和零售用户）的输配电费、上网环节线损费用、系统运行费用、政府性基金及附加费用、基本电费和功率因数调整电费等按照用电电压等级、用电类别以及国家和海南省有关标准按实收取。</w:t>
      </w:r>
    </w:p>
    <w:bookmarkEnd w:id="118"/>
    <w:bookmarkEnd w:id="119"/>
    <w:bookmarkEnd w:id="120"/>
    <w:bookmarkEnd w:id="121"/>
    <w:bookmarkEnd w:id="122"/>
    <w:bookmarkEnd w:id="123"/>
    <w:bookmarkEnd w:id="124"/>
    <w:bookmarkEnd w:id="125"/>
    <w:bookmarkEnd w:id="126"/>
    <w:bookmarkEnd w:id="127"/>
    <w:bookmarkEnd w:id="128"/>
    <w:bookmarkEnd w:id="129"/>
    <w:bookmarkEnd w:id="142"/>
    <w:bookmarkEnd w:id="143"/>
    <w:p>
      <w:pPr>
        <w:pStyle w:val="65"/>
        <w:keepNext w:val="0"/>
        <w:keepLines w:val="0"/>
        <w:pageBreakBefore w:val="0"/>
        <w:widowControl w:val="0"/>
        <w:numPr>
          <w:ilvl w:val="0"/>
          <w:numId w:val="10"/>
        </w:numP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黑体" w:hAnsi="黑体" w:eastAsia="黑体" w:cs="黑体"/>
          <w:color w:val="auto"/>
          <w:sz w:val="32"/>
          <w:szCs w:val="32"/>
          <w:highlight w:val="none"/>
          <w:lang w:val="zh-CN"/>
        </w:rPr>
      </w:pPr>
      <w:bookmarkStart w:id="144" w:name="_Toc27828"/>
      <w:bookmarkStart w:id="145" w:name="_Toc31873"/>
      <w:r>
        <w:rPr>
          <w:rFonts w:hint="eastAsia" w:ascii="黑体" w:hAnsi="黑体" w:eastAsia="黑体" w:cs="黑体"/>
          <w:color w:val="auto"/>
          <w:sz w:val="32"/>
          <w:szCs w:val="32"/>
          <w:highlight w:val="none"/>
          <w:lang w:val="zh-CN"/>
        </w:rPr>
        <w:t>分摊及返还电费</w:t>
      </w:r>
      <w:bookmarkEnd w:id="130"/>
      <w:bookmarkEnd w:id="131"/>
      <w:bookmarkEnd w:id="132"/>
      <w:bookmarkEnd w:id="133"/>
      <w:bookmarkEnd w:id="134"/>
      <w:bookmarkEnd w:id="135"/>
      <w:bookmarkEnd w:id="136"/>
      <w:bookmarkEnd w:id="137"/>
      <w:bookmarkEnd w:id="138"/>
      <w:bookmarkEnd w:id="139"/>
      <w:bookmarkEnd w:id="144"/>
      <w:bookmarkEnd w:id="145"/>
      <w:bookmarkStart w:id="146" w:name="_Toc306"/>
      <w:bookmarkStart w:id="147" w:name="_Toc9662"/>
      <w:bookmarkStart w:id="148" w:name="_Toc31622"/>
      <w:bookmarkStart w:id="149" w:name="_Toc16293"/>
      <w:bookmarkStart w:id="150" w:name="_Toc11759"/>
      <w:bookmarkStart w:id="151" w:name="_Toc20746"/>
      <w:bookmarkStart w:id="152" w:name="_Toc2392"/>
      <w:bookmarkStart w:id="153" w:name="_Toc6180"/>
      <w:bookmarkStart w:id="154" w:name="_Toc1672"/>
    </w:p>
    <w:p>
      <w:pPr>
        <w:pStyle w:val="66"/>
        <w:keepNext w:val="0"/>
        <w:keepLines w:val="0"/>
        <w:pageBreakBefore w:val="0"/>
        <w:widowControl w:val="0"/>
        <w:numPr>
          <w:ilvl w:val="1"/>
          <w:numId w:val="10"/>
        </w:numPr>
        <w:kinsoku/>
        <w:wordWrap/>
        <w:overflowPunct/>
        <w:topLinePunct w:val="0"/>
        <w:autoSpaceDE/>
        <w:autoSpaceDN/>
        <w:bidi w:val="0"/>
        <w:adjustRightInd/>
        <w:snapToGrid/>
        <w:spacing w:line="560" w:lineRule="exact"/>
        <w:ind w:left="0" w:leftChars="0" w:firstLine="643" w:firstLineChars="200"/>
        <w:outlineLvl w:val="1"/>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lang w:eastAsia="zh-CN"/>
        </w:rPr>
        <w:t>成本补偿类费用</w:t>
      </w:r>
    </w:p>
    <w:p>
      <w:pPr>
        <w:pStyle w:val="66"/>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703" w:leftChars="0" w:firstLine="0" w:firstLineChars="0"/>
        <w:outlineLvl w:val="2"/>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7.1.1</w:t>
      </w:r>
      <w:r>
        <w:rPr>
          <w:rFonts w:hint="eastAsia" w:ascii="仿宋_GB2312" w:hAnsi="仿宋_GB2312" w:eastAsia="仿宋_GB2312" w:cs="仿宋_GB2312"/>
          <w:b w:val="0"/>
          <w:bCs w:val="0"/>
          <w:color w:val="auto"/>
          <w:sz w:val="32"/>
          <w:szCs w:val="32"/>
          <w:highlight w:val="none"/>
        </w:rPr>
        <w:t>运行补偿</w:t>
      </w:r>
      <w:r>
        <w:rPr>
          <w:rFonts w:hint="eastAsia" w:ascii="仿宋_GB2312" w:hAnsi="仿宋_GB2312" w:eastAsia="仿宋_GB2312" w:cs="仿宋_GB2312"/>
          <w:b w:val="0"/>
          <w:bCs w:val="0"/>
          <w:color w:val="auto"/>
          <w:sz w:val="32"/>
          <w:szCs w:val="32"/>
          <w:highlight w:val="none"/>
          <w:lang w:eastAsia="zh-CN"/>
        </w:rPr>
        <w:t>费用</w:t>
      </w:r>
    </w:p>
    <w:p>
      <w:pPr>
        <w:pStyle w:val="67"/>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运行补偿费用按照《海南电力市场现货电能量交易实施细则》计算</w:t>
      </w:r>
      <w:r>
        <w:rPr>
          <w:rFonts w:hint="eastAsia" w:ascii="仿宋_GB2312" w:hAnsi="仿宋_GB2312" w:eastAsia="仿宋_GB2312" w:cs="仿宋_GB2312"/>
          <w:color w:val="auto"/>
          <w:sz w:val="32"/>
          <w:szCs w:val="32"/>
          <w:highlight w:val="none"/>
          <w:lang w:eastAsia="zh-CN"/>
        </w:rPr>
        <w:t>，包含运行补偿费用和运行补偿启动费用</w:t>
      </w:r>
    </w:p>
    <w:p>
      <w:pPr>
        <w:pStyle w:val="67"/>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7.1.1.1</w:t>
      </w:r>
      <w:r>
        <w:rPr>
          <w:rFonts w:hint="eastAsia" w:ascii="仿宋_GB2312" w:hAnsi="仿宋_GB2312" w:eastAsia="仿宋_GB2312" w:cs="仿宋_GB2312"/>
          <w:color w:val="auto"/>
          <w:sz w:val="32"/>
          <w:szCs w:val="32"/>
          <w:highlight w:val="none"/>
        </w:rPr>
        <w:t>运行补偿</w:t>
      </w:r>
      <w:r>
        <w:rPr>
          <w:rFonts w:hint="eastAsia" w:ascii="仿宋_GB2312" w:hAnsi="仿宋_GB2312" w:eastAsia="仿宋_GB2312" w:cs="仿宋_GB2312"/>
          <w:color w:val="auto"/>
          <w:sz w:val="32"/>
          <w:szCs w:val="32"/>
          <w:highlight w:val="none"/>
          <w:lang w:eastAsia="zh-CN"/>
        </w:rPr>
        <w:t>费用</w:t>
      </w:r>
      <w:r>
        <w:rPr>
          <w:rFonts w:hint="eastAsia" w:ascii="仿宋_GB2312" w:hAnsi="仿宋_GB2312" w:eastAsia="仿宋_GB2312" w:cs="仿宋_GB2312"/>
          <w:color w:val="auto"/>
          <w:sz w:val="32"/>
          <w:szCs w:val="32"/>
          <w:highlight w:val="none"/>
        </w:rPr>
        <w:t>分摊</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运行补偿费用以月度为单位，批发用户、售电公司按实际用电量比例参与分摊，电网企业代理购电按电网企业代购市场实际分时电量比例参与分摊。设置度电分摊上限，达到上限后，对各机组系统运行补偿进行等比例打折，度电分摊上限在</w:t>
      </w:r>
      <w:r>
        <w:rPr>
          <w:rFonts w:hint="eastAsia" w:ascii="仿宋_GB2312" w:hAnsi="仿宋_GB2312" w:eastAsia="仿宋_GB2312" w:cs="仿宋_GB2312"/>
          <w:color w:val="auto"/>
          <w:sz w:val="32"/>
          <w:szCs w:val="32"/>
          <w:highlight w:val="none"/>
          <w:lang w:eastAsia="zh-CN"/>
        </w:rPr>
        <w:t>省内实施</w:t>
      </w:r>
      <w:r>
        <w:rPr>
          <w:rFonts w:hint="eastAsia" w:ascii="仿宋_GB2312" w:hAnsi="仿宋_GB2312" w:eastAsia="仿宋_GB2312" w:cs="仿宋_GB2312"/>
          <w:color w:val="auto"/>
          <w:sz w:val="32"/>
          <w:szCs w:val="32"/>
          <w:highlight w:val="none"/>
        </w:rPr>
        <w:t>方案中明确。上述电网代理购电承担的分摊费用，纳入电网企业代购市场电量购电成本，由其代理购电用户分摊。</w:t>
      </w:r>
    </w:p>
    <w:p>
      <w:pPr>
        <w:pStyle w:val="66"/>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3" w:firstLineChars="200"/>
        <w:outlineLvl w:val="1"/>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7.2</w:t>
      </w:r>
      <w:r>
        <w:rPr>
          <w:rFonts w:hint="eastAsia" w:ascii="仿宋_GB2312" w:hAnsi="仿宋_GB2312" w:eastAsia="仿宋_GB2312" w:cs="仿宋_GB2312"/>
          <w:b/>
          <w:bCs/>
          <w:color w:val="auto"/>
          <w:sz w:val="32"/>
          <w:szCs w:val="32"/>
          <w:highlight w:val="none"/>
          <w:lang w:eastAsia="zh-CN"/>
        </w:rPr>
        <w:t>市场考核类费用</w:t>
      </w:r>
    </w:p>
    <w:p>
      <w:pPr>
        <w:pStyle w:val="66"/>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outlineLvl w:val="2"/>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7.2.1</w:t>
      </w:r>
      <w:r>
        <w:rPr>
          <w:rFonts w:hint="eastAsia" w:ascii="仿宋_GB2312" w:hAnsi="仿宋_GB2312" w:eastAsia="仿宋_GB2312" w:cs="仿宋_GB2312"/>
          <w:b w:val="0"/>
          <w:bCs w:val="0"/>
          <w:color w:val="auto"/>
          <w:sz w:val="32"/>
          <w:szCs w:val="32"/>
          <w:highlight w:val="none"/>
        </w:rPr>
        <w:t>机组考核电费</w:t>
      </w:r>
    </w:p>
    <w:p>
      <w:pPr>
        <w:pStyle w:val="67"/>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7.2.1.1</w:t>
      </w:r>
      <w:r>
        <w:rPr>
          <w:rFonts w:hint="eastAsia" w:ascii="仿宋_GB2312" w:hAnsi="仿宋_GB2312" w:eastAsia="仿宋_GB2312" w:cs="仿宋_GB2312"/>
          <w:color w:val="auto"/>
          <w:sz w:val="32"/>
          <w:szCs w:val="32"/>
          <w:highlight w:val="none"/>
        </w:rPr>
        <w:t>机组日内临时非计划停运偏差费用返还</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根据《海南电力市场现货电能量交易实施细则》，开展机组日内临时非计划停运偏差费用返还认定及计算。</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机组日内临时非计划停运偏差费用返还以月度为单位，批发用户、售电公司按实际用电量比例参与</w:t>
      </w:r>
      <w:r>
        <w:rPr>
          <w:rFonts w:hint="eastAsia" w:ascii="仿宋_GB2312" w:hAnsi="仿宋_GB2312" w:eastAsia="仿宋_GB2312" w:cs="仿宋_GB2312"/>
          <w:color w:val="auto"/>
          <w:sz w:val="32"/>
          <w:szCs w:val="32"/>
          <w:highlight w:val="none"/>
          <w:lang w:eastAsia="zh-CN"/>
        </w:rPr>
        <w:t>分享</w:t>
      </w:r>
      <w:r>
        <w:rPr>
          <w:rFonts w:hint="eastAsia" w:ascii="仿宋_GB2312" w:hAnsi="仿宋_GB2312" w:eastAsia="仿宋_GB2312" w:cs="仿宋_GB2312"/>
          <w:color w:val="auto"/>
          <w:sz w:val="32"/>
          <w:szCs w:val="32"/>
          <w:highlight w:val="none"/>
        </w:rPr>
        <w:t>，电网企业代理购电按电网企业代购市场实际分时电量比例参与</w:t>
      </w:r>
      <w:r>
        <w:rPr>
          <w:rFonts w:hint="eastAsia" w:ascii="仿宋_GB2312" w:hAnsi="仿宋_GB2312" w:eastAsia="仿宋_GB2312" w:cs="仿宋_GB2312"/>
          <w:color w:val="auto"/>
          <w:sz w:val="32"/>
          <w:szCs w:val="32"/>
          <w:highlight w:val="none"/>
          <w:lang w:eastAsia="zh-CN"/>
        </w:rPr>
        <w:t>分享</w:t>
      </w:r>
      <w:r>
        <w:rPr>
          <w:rFonts w:hint="eastAsia" w:ascii="仿宋_GB2312" w:hAnsi="仿宋_GB2312" w:eastAsia="仿宋_GB2312" w:cs="仿宋_GB2312"/>
          <w:color w:val="auto"/>
          <w:sz w:val="32"/>
          <w:szCs w:val="32"/>
          <w:highlight w:val="none"/>
        </w:rPr>
        <w:t>。上述电网代理购电承担的</w:t>
      </w:r>
      <w:r>
        <w:rPr>
          <w:rFonts w:hint="eastAsia" w:ascii="仿宋_GB2312" w:hAnsi="仿宋_GB2312" w:eastAsia="仿宋_GB2312" w:cs="仿宋_GB2312"/>
          <w:color w:val="auto"/>
          <w:sz w:val="32"/>
          <w:szCs w:val="32"/>
          <w:highlight w:val="none"/>
          <w:lang w:eastAsia="zh-CN"/>
        </w:rPr>
        <w:t>分享</w:t>
      </w:r>
      <w:r>
        <w:rPr>
          <w:rFonts w:hint="eastAsia" w:ascii="仿宋_GB2312" w:hAnsi="仿宋_GB2312" w:eastAsia="仿宋_GB2312" w:cs="仿宋_GB2312"/>
          <w:color w:val="auto"/>
          <w:sz w:val="32"/>
          <w:szCs w:val="32"/>
          <w:highlight w:val="none"/>
        </w:rPr>
        <w:t>费用，纳入电网企业代购市场电量购电成本，由其代理购电用户</w:t>
      </w:r>
      <w:r>
        <w:rPr>
          <w:rFonts w:hint="eastAsia" w:ascii="仿宋_GB2312" w:hAnsi="仿宋_GB2312" w:eastAsia="仿宋_GB2312" w:cs="仿宋_GB2312"/>
          <w:color w:val="auto"/>
          <w:sz w:val="32"/>
          <w:szCs w:val="32"/>
          <w:highlight w:val="none"/>
          <w:lang w:eastAsia="zh-CN"/>
        </w:rPr>
        <w:t>分享</w:t>
      </w:r>
      <w:r>
        <w:rPr>
          <w:rFonts w:hint="eastAsia" w:ascii="仿宋_GB2312" w:hAnsi="仿宋_GB2312" w:eastAsia="仿宋_GB2312" w:cs="仿宋_GB2312"/>
          <w:color w:val="auto"/>
          <w:sz w:val="32"/>
          <w:szCs w:val="32"/>
          <w:highlight w:val="none"/>
        </w:rPr>
        <w:t>。</w:t>
      </w:r>
    </w:p>
    <w:p>
      <w:pPr>
        <w:pStyle w:val="67"/>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outlineLvl w:val="2"/>
        <w:rPr>
          <w:rFonts w:hint="eastAsia" w:ascii="仿宋_GB2312" w:hAnsi="仿宋_GB2312" w:eastAsia="仿宋_GB2312" w:cs="仿宋_GB2312"/>
          <w:color w:val="auto"/>
          <w:sz w:val="32"/>
          <w:szCs w:val="32"/>
          <w:highlight w:val="none"/>
        </w:rPr>
      </w:pPr>
      <w:bookmarkStart w:id="155" w:name="_Toc515551415"/>
      <w:r>
        <w:rPr>
          <w:rFonts w:hint="eastAsia" w:ascii="仿宋_GB2312" w:hAnsi="仿宋_GB2312" w:eastAsia="仿宋_GB2312" w:cs="仿宋_GB2312"/>
          <w:color w:val="auto"/>
          <w:sz w:val="32"/>
          <w:szCs w:val="32"/>
          <w:highlight w:val="none"/>
          <w:lang w:val="en-US" w:eastAsia="zh-CN"/>
        </w:rPr>
        <w:t>7.2.1.2</w:t>
      </w:r>
      <w:r>
        <w:rPr>
          <w:rFonts w:hint="eastAsia" w:ascii="仿宋_GB2312" w:hAnsi="仿宋_GB2312" w:eastAsia="仿宋_GB2312" w:cs="仿宋_GB2312"/>
          <w:color w:val="auto"/>
          <w:sz w:val="32"/>
          <w:szCs w:val="32"/>
          <w:highlight w:val="none"/>
        </w:rPr>
        <w:t>机组实时发电计划执行偏差费用返还</w:t>
      </w:r>
      <w:bookmarkEnd w:id="155"/>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根据《海南电力市场现货电能量交易实施细则》，开展机组实时发电计划执行偏差费用返还认定及计算。</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机组实时发电计划执行偏差费用返还以月度为单位，批发用户、售电公司按实际用电量比例参与</w:t>
      </w:r>
      <w:r>
        <w:rPr>
          <w:rFonts w:hint="eastAsia" w:ascii="仿宋_GB2312" w:hAnsi="仿宋_GB2312" w:eastAsia="仿宋_GB2312" w:cs="仿宋_GB2312"/>
          <w:color w:val="auto"/>
          <w:sz w:val="32"/>
          <w:szCs w:val="32"/>
          <w:highlight w:val="none"/>
          <w:lang w:eastAsia="zh-CN"/>
        </w:rPr>
        <w:t>分享</w:t>
      </w:r>
      <w:r>
        <w:rPr>
          <w:rFonts w:hint="eastAsia" w:ascii="仿宋_GB2312" w:hAnsi="仿宋_GB2312" w:eastAsia="仿宋_GB2312" w:cs="仿宋_GB2312"/>
          <w:color w:val="auto"/>
          <w:sz w:val="32"/>
          <w:szCs w:val="32"/>
          <w:highlight w:val="none"/>
        </w:rPr>
        <w:t>，电网企业代理购电按电网企业代购市场实际分时电量比例参与</w:t>
      </w:r>
      <w:r>
        <w:rPr>
          <w:rFonts w:hint="eastAsia" w:ascii="仿宋_GB2312" w:hAnsi="仿宋_GB2312" w:eastAsia="仿宋_GB2312" w:cs="仿宋_GB2312"/>
          <w:color w:val="auto"/>
          <w:sz w:val="32"/>
          <w:szCs w:val="32"/>
          <w:highlight w:val="none"/>
          <w:lang w:eastAsia="zh-CN"/>
        </w:rPr>
        <w:t>分享</w:t>
      </w:r>
      <w:r>
        <w:rPr>
          <w:rFonts w:hint="eastAsia" w:ascii="仿宋_GB2312" w:hAnsi="仿宋_GB2312" w:eastAsia="仿宋_GB2312" w:cs="仿宋_GB2312"/>
          <w:color w:val="auto"/>
          <w:sz w:val="32"/>
          <w:szCs w:val="32"/>
          <w:highlight w:val="none"/>
        </w:rPr>
        <w:t>。上述电网代理购电承担的</w:t>
      </w:r>
      <w:r>
        <w:rPr>
          <w:rFonts w:hint="eastAsia" w:ascii="仿宋_GB2312" w:hAnsi="仿宋_GB2312" w:eastAsia="仿宋_GB2312" w:cs="仿宋_GB2312"/>
          <w:color w:val="auto"/>
          <w:sz w:val="32"/>
          <w:szCs w:val="32"/>
          <w:highlight w:val="none"/>
          <w:lang w:eastAsia="zh-CN"/>
        </w:rPr>
        <w:t>分享</w:t>
      </w:r>
      <w:r>
        <w:rPr>
          <w:rFonts w:hint="eastAsia" w:ascii="仿宋_GB2312" w:hAnsi="仿宋_GB2312" w:eastAsia="仿宋_GB2312" w:cs="仿宋_GB2312"/>
          <w:color w:val="auto"/>
          <w:sz w:val="32"/>
          <w:szCs w:val="32"/>
          <w:highlight w:val="none"/>
        </w:rPr>
        <w:t>费用，纳入电网企业代购市场电量购电成本，由其代理购电用户</w:t>
      </w:r>
      <w:r>
        <w:rPr>
          <w:rFonts w:hint="eastAsia" w:ascii="仿宋_GB2312" w:hAnsi="仿宋_GB2312" w:eastAsia="仿宋_GB2312" w:cs="仿宋_GB2312"/>
          <w:color w:val="auto"/>
          <w:sz w:val="32"/>
          <w:szCs w:val="32"/>
          <w:highlight w:val="none"/>
          <w:lang w:eastAsia="zh-CN"/>
        </w:rPr>
        <w:t>分享</w:t>
      </w:r>
      <w:r>
        <w:rPr>
          <w:rFonts w:hint="eastAsia" w:ascii="仿宋_GB2312" w:hAnsi="仿宋_GB2312" w:eastAsia="仿宋_GB2312" w:cs="仿宋_GB2312"/>
          <w:color w:val="auto"/>
          <w:sz w:val="32"/>
          <w:szCs w:val="32"/>
          <w:highlight w:val="none"/>
        </w:rPr>
        <w:t>。</w:t>
      </w:r>
    </w:p>
    <w:p>
      <w:pPr>
        <w:pStyle w:val="67"/>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outlineLvl w:val="2"/>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7.2.1.3</w:t>
      </w:r>
      <w:r>
        <w:rPr>
          <w:rFonts w:hint="eastAsia" w:ascii="仿宋_GB2312" w:hAnsi="仿宋_GB2312" w:eastAsia="仿宋_GB2312" w:cs="仿宋_GB2312"/>
          <w:color w:val="auto"/>
          <w:sz w:val="32"/>
          <w:szCs w:val="32"/>
          <w:highlight w:val="none"/>
        </w:rPr>
        <w:t>机组限高考核</w:t>
      </w:r>
      <w:r>
        <w:rPr>
          <w:rFonts w:hint="eastAsia" w:ascii="仿宋_GB2312" w:hAnsi="仿宋_GB2312" w:eastAsia="仿宋_GB2312" w:cs="仿宋_GB2312"/>
          <w:color w:val="auto"/>
          <w:sz w:val="32"/>
          <w:szCs w:val="32"/>
          <w:highlight w:val="none"/>
          <w:lang w:eastAsia="zh-CN"/>
        </w:rPr>
        <w:t>费用</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bookmarkStart w:id="156" w:name="_Hlk532913250"/>
      <w:r>
        <w:rPr>
          <w:rFonts w:hint="eastAsia" w:ascii="仿宋_GB2312" w:hAnsi="仿宋_GB2312" w:eastAsia="仿宋_GB2312" w:cs="仿宋_GB2312"/>
          <w:color w:val="auto"/>
          <w:sz w:val="32"/>
          <w:szCs w:val="32"/>
          <w:highlight w:val="none"/>
        </w:rPr>
        <w:t>根据《海南电力市场现货电能量交易实施细则》，开展机组限高考核</w:t>
      </w:r>
      <w:r>
        <w:rPr>
          <w:rFonts w:hint="eastAsia" w:ascii="仿宋_GB2312" w:hAnsi="仿宋_GB2312" w:eastAsia="仿宋_GB2312" w:cs="仿宋_GB2312"/>
          <w:color w:val="auto"/>
          <w:sz w:val="32"/>
          <w:szCs w:val="32"/>
          <w:highlight w:val="none"/>
          <w:lang w:eastAsia="zh-CN"/>
        </w:rPr>
        <w:t>费用</w:t>
      </w:r>
      <w:r>
        <w:rPr>
          <w:rFonts w:hint="eastAsia" w:ascii="仿宋_GB2312" w:hAnsi="仿宋_GB2312" w:eastAsia="仿宋_GB2312" w:cs="仿宋_GB2312"/>
          <w:color w:val="auto"/>
          <w:sz w:val="32"/>
          <w:szCs w:val="32"/>
          <w:highlight w:val="none"/>
        </w:rPr>
        <w:t>计算。</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机组限高考核</w:t>
      </w:r>
      <w:r>
        <w:rPr>
          <w:rFonts w:hint="eastAsia" w:ascii="仿宋_GB2312" w:hAnsi="仿宋_GB2312" w:eastAsia="仿宋_GB2312" w:cs="仿宋_GB2312"/>
          <w:color w:val="auto"/>
          <w:sz w:val="32"/>
          <w:szCs w:val="32"/>
          <w:highlight w:val="none"/>
          <w:lang w:eastAsia="zh-CN"/>
        </w:rPr>
        <w:t>费用</w:t>
      </w:r>
      <w:r>
        <w:rPr>
          <w:rFonts w:hint="eastAsia" w:ascii="仿宋_GB2312" w:hAnsi="仿宋_GB2312" w:eastAsia="仿宋_GB2312" w:cs="仿宋_GB2312"/>
          <w:color w:val="auto"/>
          <w:sz w:val="32"/>
          <w:szCs w:val="32"/>
          <w:highlight w:val="none"/>
        </w:rPr>
        <w:t>以月度为单位，批发用户、售电公司按实际用电量比例参与</w:t>
      </w:r>
      <w:r>
        <w:rPr>
          <w:rFonts w:hint="eastAsia" w:ascii="仿宋_GB2312" w:hAnsi="仿宋_GB2312" w:eastAsia="仿宋_GB2312" w:cs="仿宋_GB2312"/>
          <w:color w:val="auto"/>
          <w:sz w:val="32"/>
          <w:szCs w:val="32"/>
          <w:highlight w:val="none"/>
          <w:lang w:eastAsia="zh-CN"/>
        </w:rPr>
        <w:t>分享</w:t>
      </w:r>
      <w:r>
        <w:rPr>
          <w:rFonts w:hint="eastAsia" w:ascii="仿宋_GB2312" w:hAnsi="仿宋_GB2312" w:eastAsia="仿宋_GB2312" w:cs="仿宋_GB2312"/>
          <w:color w:val="auto"/>
          <w:sz w:val="32"/>
          <w:szCs w:val="32"/>
          <w:highlight w:val="none"/>
        </w:rPr>
        <w:t>，电网企业代理购电按电网企业代购市场实际分时电量比例参与</w:t>
      </w:r>
      <w:r>
        <w:rPr>
          <w:rFonts w:hint="eastAsia" w:ascii="仿宋_GB2312" w:hAnsi="仿宋_GB2312" w:eastAsia="仿宋_GB2312" w:cs="仿宋_GB2312"/>
          <w:color w:val="auto"/>
          <w:sz w:val="32"/>
          <w:szCs w:val="32"/>
          <w:highlight w:val="none"/>
          <w:lang w:eastAsia="zh-CN"/>
        </w:rPr>
        <w:t>分享</w:t>
      </w:r>
      <w:r>
        <w:rPr>
          <w:rFonts w:hint="eastAsia" w:ascii="仿宋_GB2312" w:hAnsi="仿宋_GB2312" w:eastAsia="仿宋_GB2312" w:cs="仿宋_GB2312"/>
          <w:color w:val="auto"/>
          <w:sz w:val="32"/>
          <w:szCs w:val="32"/>
          <w:highlight w:val="none"/>
        </w:rPr>
        <w:t>。上述电网代理购电承担的</w:t>
      </w:r>
      <w:r>
        <w:rPr>
          <w:rFonts w:hint="eastAsia" w:ascii="仿宋_GB2312" w:hAnsi="仿宋_GB2312" w:eastAsia="仿宋_GB2312" w:cs="仿宋_GB2312"/>
          <w:color w:val="auto"/>
          <w:sz w:val="32"/>
          <w:szCs w:val="32"/>
          <w:highlight w:val="none"/>
          <w:lang w:eastAsia="zh-CN"/>
        </w:rPr>
        <w:t>分享</w:t>
      </w:r>
      <w:r>
        <w:rPr>
          <w:rFonts w:hint="eastAsia" w:ascii="仿宋_GB2312" w:hAnsi="仿宋_GB2312" w:eastAsia="仿宋_GB2312" w:cs="仿宋_GB2312"/>
          <w:color w:val="auto"/>
          <w:sz w:val="32"/>
          <w:szCs w:val="32"/>
          <w:highlight w:val="none"/>
        </w:rPr>
        <w:t>费用，纳入电网企业代购市场电量购电成本，由其代理购电用户</w:t>
      </w:r>
      <w:r>
        <w:rPr>
          <w:rFonts w:hint="eastAsia" w:ascii="仿宋_GB2312" w:hAnsi="仿宋_GB2312" w:eastAsia="仿宋_GB2312" w:cs="仿宋_GB2312"/>
          <w:color w:val="auto"/>
          <w:sz w:val="32"/>
          <w:szCs w:val="32"/>
          <w:highlight w:val="none"/>
          <w:lang w:eastAsia="zh-CN"/>
        </w:rPr>
        <w:t>分享</w:t>
      </w:r>
      <w:r>
        <w:rPr>
          <w:rFonts w:hint="eastAsia" w:ascii="仿宋_GB2312" w:hAnsi="仿宋_GB2312" w:eastAsia="仿宋_GB2312" w:cs="仿宋_GB2312"/>
          <w:color w:val="auto"/>
          <w:sz w:val="32"/>
          <w:szCs w:val="32"/>
          <w:highlight w:val="none"/>
        </w:rPr>
        <w:t>。</w:t>
      </w:r>
    </w:p>
    <w:bookmarkEnd w:id="156"/>
    <w:p>
      <w:pPr>
        <w:pStyle w:val="67"/>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outlineLvl w:val="2"/>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7.2.1.4</w:t>
      </w:r>
      <w:r>
        <w:rPr>
          <w:rFonts w:hint="eastAsia" w:ascii="仿宋_GB2312" w:hAnsi="仿宋_GB2312" w:eastAsia="仿宋_GB2312" w:cs="仿宋_GB2312"/>
          <w:color w:val="auto"/>
          <w:sz w:val="32"/>
          <w:szCs w:val="32"/>
          <w:highlight w:val="none"/>
        </w:rPr>
        <w:t>机组限低考核</w:t>
      </w:r>
      <w:r>
        <w:rPr>
          <w:rFonts w:hint="eastAsia" w:ascii="仿宋_GB2312" w:hAnsi="仿宋_GB2312" w:eastAsia="仿宋_GB2312" w:cs="仿宋_GB2312"/>
          <w:color w:val="auto"/>
          <w:sz w:val="32"/>
          <w:szCs w:val="32"/>
          <w:highlight w:val="none"/>
          <w:lang w:eastAsia="zh-CN"/>
        </w:rPr>
        <w:t>费用</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根据《海南电力市场现货电能量交易实施细则》，开展机组限低考核</w:t>
      </w:r>
      <w:r>
        <w:rPr>
          <w:rFonts w:hint="eastAsia" w:ascii="仿宋_GB2312" w:hAnsi="仿宋_GB2312" w:eastAsia="仿宋_GB2312" w:cs="仿宋_GB2312"/>
          <w:color w:val="auto"/>
          <w:sz w:val="32"/>
          <w:szCs w:val="32"/>
          <w:highlight w:val="none"/>
          <w:lang w:eastAsia="zh-CN"/>
        </w:rPr>
        <w:t>费用</w:t>
      </w:r>
      <w:r>
        <w:rPr>
          <w:rFonts w:hint="eastAsia" w:ascii="仿宋_GB2312" w:hAnsi="仿宋_GB2312" w:eastAsia="仿宋_GB2312" w:cs="仿宋_GB2312"/>
          <w:color w:val="auto"/>
          <w:sz w:val="32"/>
          <w:szCs w:val="32"/>
          <w:highlight w:val="none"/>
        </w:rPr>
        <w:t>计算。</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机组限低考核</w:t>
      </w:r>
      <w:r>
        <w:rPr>
          <w:rFonts w:hint="eastAsia" w:ascii="仿宋_GB2312" w:hAnsi="仿宋_GB2312" w:eastAsia="仿宋_GB2312" w:cs="仿宋_GB2312"/>
          <w:color w:val="auto"/>
          <w:sz w:val="32"/>
          <w:szCs w:val="32"/>
          <w:highlight w:val="none"/>
          <w:lang w:eastAsia="zh-CN"/>
        </w:rPr>
        <w:t>费用</w:t>
      </w:r>
      <w:r>
        <w:rPr>
          <w:rFonts w:hint="eastAsia" w:ascii="仿宋_GB2312" w:hAnsi="仿宋_GB2312" w:eastAsia="仿宋_GB2312" w:cs="仿宋_GB2312"/>
          <w:color w:val="auto"/>
          <w:sz w:val="32"/>
          <w:szCs w:val="32"/>
          <w:highlight w:val="none"/>
        </w:rPr>
        <w:t>以月度为单位，批发用户、售电公司按实际用电量比例参与</w:t>
      </w:r>
      <w:r>
        <w:rPr>
          <w:rFonts w:hint="eastAsia" w:ascii="仿宋_GB2312" w:hAnsi="仿宋_GB2312" w:eastAsia="仿宋_GB2312" w:cs="仿宋_GB2312"/>
          <w:color w:val="auto"/>
          <w:sz w:val="32"/>
          <w:szCs w:val="32"/>
          <w:highlight w:val="none"/>
          <w:lang w:eastAsia="zh-CN"/>
        </w:rPr>
        <w:t>分享</w:t>
      </w:r>
      <w:r>
        <w:rPr>
          <w:rFonts w:hint="eastAsia" w:ascii="仿宋_GB2312" w:hAnsi="仿宋_GB2312" w:eastAsia="仿宋_GB2312" w:cs="仿宋_GB2312"/>
          <w:color w:val="auto"/>
          <w:sz w:val="32"/>
          <w:szCs w:val="32"/>
          <w:highlight w:val="none"/>
        </w:rPr>
        <w:t>，电网企业代理购电按电网企业代购市场实际分时电量比例参与</w:t>
      </w:r>
      <w:r>
        <w:rPr>
          <w:rFonts w:hint="eastAsia" w:ascii="仿宋_GB2312" w:hAnsi="仿宋_GB2312" w:eastAsia="仿宋_GB2312" w:cs="仿宋_GB2312"/>
          <w:color w:val="auto"/>
          <w:sz w:val="32"/>
          <w:szCs w:val="32"/>
          <w:highlight w:val="none"/>
          <w:lang w:eastAsia="zh-CN"/>
        </w:rPr>
        <w:t>分享</w:t>
      </w:r>
      <w:r>
        <w:rPr>
          <w:rFonts w:hint="eastAsia" w:ascii="仿宋_GB2312" w:hAnsi="仿宋_GB2312" w:eastAsia="仿宋_GB2312" w:cs="仿宋_GB2312"/>
          <w:color w:val="auto"/>
          <w:sz w:val="32"/>
          <w:szCs w:val="32"/>
          <w:highlight w:val="none"/>
        </w:rPr>
        <w:t>。上述电网代理购电承担的</w:t>
      </w:r>
      <w:r>
        <w:rPr>
          <w:rFonts w:hint="eastAsia" w:ascii="仿宋_GB2312" w:hAnsi="仿宋_GB2312" w:eastAsia="仿宋_GB2312" w:cs="仿宋_GB2312"/>
          <w:color w:val="auto"/>
          <w:sz w:val="32"/>
          <w:szCs w:val="32"/>
          <w:highlight w:val="none"/>
          <w:lang w:eastAsia="zh-CN"/>
        </w:rPr>
        <w:t>分享</w:t>
      </w:r>
      <w:r>
        <w:rPr>
          <w:rFonts w:hint="eastAsia" w:ascii="仿宋_GB2312" w:hAnsi="仿宋_GB2312" w:eastAsia="仿宋_GB2312" w:cs="仿宋_GB2312"/>
          <w:color w:val="auto"/>
          <w:sz w:val="32"/>
          <w:szCs w:val="32"/>
          <w:highlight w:val="none"/>
        </w:rPr>
        <w:t>费用，纳入电网企业代购市场电量购电成本，由其代理购电用户</w:t>
      </w:r>
      <w:r>
        <w:rPr>
          <w:rFonts w:hint="eastAsia" w:ascii="仿宋_GB2312" w:hAnsi="仿宋_GB2312" w:eastAsia="仿宋_GB2312" w:cs="仿宋_GB2312"/>
          <w:color w:val="auto"/>
          <w:sz w:val="32"/>
          <w:szCs w:val="32"/>
          <w:highlight w:val="none"/>
          <w:lang w:eastAsia="zh-CN"/>
        </w:rPr>
        <w:t>分享</w:t>
      </w:r>
      <w:r>
        <w:rPr>
          <w:rFonts w:hint="eastAsia" w:ascii="仿宋_GB2312" w:hAnsi="仿宋_GB2312" w:eastAsia="仿宋_GB2312" w:cs="仿宋_GB2312"/>
          <w:color w:val="auto"/>
          <w:sz w:val="32"/>
          <w:szCs w:val="32"/>
          <w:highlight w:val="none"/>
        </w:rPr>
        <w:t>。</w:t>
      </w:r>
    </w:p>
    <w:p>
      <w:pPr>
        <w:pStyle w:val="67"/>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outlineLvl w:val="2"/>
        <w:rPr>
          <w:rFonts w:hint="eastAsia" w:ascii="仿宋_GB2312" w:hAnsi="仿宋_GB2312" w:eastAsia="仿宋_GB2312" w:cs="仿宋_GB2312"/>
          <w:color w:val="auto"/>
          <w:sz w:val="32"/>
          <w:szCs w:val="32"/>
          <w:highlight w:val="none"/>
        </w:rPr>
      </w:pPr>
      <w:bookmarkStart w:id="157" w:name="_Toc18141663"/>
      <w:bookmarkStart w:id="158" w:name="_Ref515544325"/>
      <w:bookmarkStart w:id="159" w:name="_Ref515543795"/>
      <w:r>
        <w:rPr>
          <w:rFonts w:hint="eastAsia" w:ascii="仿宋_GB2312" w:hAnsi="仿宋_GB2312" w:eastAsia="仿宋_GB2312" w:cs="仿宋_GB2312"/>
          <w:color w:val="auto"/>
          <w:sz w:val="32"/>
          <w:szCs w:val="32"/>
          <w:highlight w:val="none"/>
          <w:lang w:val="en-US" w:eastAsia="zh-CN"/>
        </w:rPr>
        <w:t>7.2.1.5</w:t>
      </w:r>
      <w:r>
        <w:rPr>
          <w:rFonts w:hint="eastAsia" w:ascii="仿宋_GB2312" w:hAnsi="仿宋_GB2312" w:eastAsia="仿宋_GB2312" w:cs="仿宋_GB2312"/>
          <w:color w:val="auto"/>
          <w:sz w:val="32"/>
          <w:szCs w:val="32"/>
          <w:highlight w:val="none"/>
        </w:rPr>
        <w:t>热电联产机组申报供热流量曲线偏差率考核</w:t>
      </w:r>
      <w:bookmarkEnd w:id="157"/>
      <w:bookmarkEnd w:id="158"/>
      <w:bookmarkEnd w:id="159"/>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根据《海南电力市场现货电能量交易实施细则》，开展热电联产机组申报供热流量曲线偏差率考核计算。</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热电联产机组申报供热流量曲线偏差率考核</w:t>
      </w:r>
      <w:r>
        <w:rPr>
          <w:rFonts w:hint="eastAsia" w:ascii="仿宋_GB2312" w:hAnsi="仿宋_GB2312" w:eastAsia="仿宋_GB2312" w:cs="仿宋_GB2312"/>
          <w:color w:val="auto"/>
          <w:sz w:val="32"/>
          <w:szCs w:val="32"/>
          <w:highlight w:val="none"/>
          <w:lang w:eastAsia="zh-CN"/>
        </w:rPr>
        <w:t>费用</w:t>
      </w:r>
      <w:r>
        <w:rPr>
          <w:rFonts w:hint="eastAsia" w:ascii="仿宋_GB2312" w:hAnsi="仿宋_GB2312" w:eastAsia="仿宋_GB2312" w:cs="仿宋_GB2312"/>
          <w:color w:val="auto"/>
          <w:sz w:val="32"/>
          <w:szCs w:val="32"/>
          <w:highlight w:val="none"/>
        </w:rPr>
        <w:t>以月度为单位，批发用户、售电公司按实际用电量比例参与</w:t>
      </w:r>
      <w:r>
        <w:rPr>
          <w:rFonts w:hint="eastAsia" w:ascii="仿宋_GB2312" w:hAnsi="仿宋_GB2312" w:eastAsia="仿宋_GB2312" w:cs="仿宋_GB2312"/>
          <w:color w:val="auto"/>
          <w:sz w:val="32"/>
          <w:szCs w:val="32"/>
          <w:highlight w:val="none"/>
          <w:lang w:eastAsia="zh-CN"/>
        </w:rPr>
        <w:t>分享</w:t>
      </w:r>
      <w:r>
        <w:rPr>
          <w:rFonts w:hint="eastAsia" w:ascii="仿宋_GB2312" w:hAnsi="仿宋_GB2312" w:eastAsia="仿宋_GB2312" w:cs="仿宋_GB2312"/>
          <w:color w:val="auto"/>
          <w:sz w:val="32"/>
          <w:szCs w:val="32"/>
          <w:highlight w:val="none"/>
        </w:rPr>
        <w:t>，电网企业代理购电按电网企业代购市场实际分时电量比例参与</w:t>
      </w:r>
      <w:r>
        <w:rPr>
          <w:rFonts w:hint="eastAsia" w:ascii="仿宋_GB2312" w:hAnsi="仿宋_GB2312" w:eastAsia="仿宋_GB2312" w:cs="仿宋_GB2312"/>
          <w:color w:val="auto"/>
          <w:sz w:val="32"/>
          <w:szCs w:val="32"/>
          <w:highlight w:val="none"/>
          <w:lang w:eastAsia="zh-CN"/>
        </w:rPr>
        <w:t>分享</w:t>
      </w:r>
      <w:r>
        <w:rPr>
          <w:rFonts w:hint="eastAsia" w:ascii="仿宋_GB2312" w:hAnsi="仿宋_GB2312" w:eastAsia="仿宋_GB2312" w:cs="仿宋_GB2312"/>
          <w:color w:val="auto"/>
          <w:sz w:val="32"/>
          <w:szCs w:val="32"/>
          <w:highlight w:val="none"/>
        </w:rPr>
        <w:t>。上述电网代理购电承担的</w:t>
      </w:r>
      <w:r>
        <w:rPr>
          <w:rFonts w:hint="eastAsia" w:ascii="仿宋_GB2312" w:hAnsi="仿宋_GB2312" w:eastAsia="仿宋_GB2312" w:cs="仿宋_GB2312"/>
          <w:color w:val="auto"/>
          <w:sz w:val="32"/>
          <w:szCs w:val="32"/>
          <w:highlight w:val="none"/>
          <w:lang w:eastAsia="zh-CN"/>
        </w:rPr>
        <w:t>分享</w:t>
      </w:r>
      <w:r>
        <w:rPr>
          <w:rFonts w:hint="eastAsia" w:ascii="仿宋_GB2312" w:hAnsi="仿宋_GB2312" w:eastAsia="仿宋_GB2312" w:cs="仿宋_GB2312"/>
          <w:color w:val="auto"/>
          <w:sz w:val="32"/>
          <w:szCs w:val="32"/>
          <w:highlight w:val="none"/>
        </w:rPr>
        <w:t>费用，纳入电网企业代购市场电量购电成本，由其代理购电用户</w:t>
      </w:r>
      <w:r>
        <w:rPr>
          <w:rFonts w:hint="eastAsia" w:ascii="仿宋_GB2312" w:hAnsi="仿宋_GB2312" w:eastAsia="仿宋_GB2312" w:cs="仿宋_GB2312"/>
          <w:color w:val="auto"/>
          <w:sz w:val="32"/>
          <w:szCs w:val="32"/>
          <w:highlight w:val="none"/>
          <w:lang w:eastAsia="zh-CN"/>
        </w:rPr>
        <w:t>分享</w:t>
      </w:r>
      <w:r>
        <w:rPr>
          <w:rFonts w:hint="eastAsia" w:ascii="仿宋_GB2312" w:hAnsi="仿宋_GB2312" w:eastAsia="仿宋_GB2312" w:cs="仿宋_GB2312"/>
          <w:color w:val="auto"/>
          <w:sz w:val="32"/>
          <w:szCs w:val="32"/>
          <w:highlight w:val="none"/>
        </w:rPr>
        <w:t>。</w:t>
      </w:r>
    </w:p>
    <w:p>
      <w:pPr>
        <w:pStyle w:val="66"/>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outlineLvl w:val="1"/>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7.2.2</w:t>
      </w:r>
      <w:r>
        <w:rPr>
          <w:rFonts w:hint="eastAsia" w:ascii="仿宋_GB2312" w:hAnsi="仿宋_GB2312" w:eastAsia="仿宋_GB2312" w:cs="仿宋_GB2312"/>
          <w:b w:val="0"/>
          <w:bCs w:val="0"/>
          <w:color w:val="auto"/>
          <w:sz w:val="32"/>
          <w:szCs w:val="32"/>
          <w:highlight w:val="none"/>
        </w:rPr>
        <w:t>发电侧中长期交易偏差</w:t>
      </w:r>
      <w:r>
        <w:rPr>
          <w:rFonts w:hint="eastAsia" w:ascii="仿宋_GB2312" w:hAnsi="仿宋_GB2312" w:eastAsia="仿宋_GB2312" w:cs="仿宋_GB2312"/>
          <w:b w:val="0"/>
          <w:bCs w:val="0"/>
          <w:color w:val="auto"/>
          <w:sz w:val="32"/>
          <w:szCs w:val="32"/>
          <w:highlight w:val="none"/>
          <w:lang w:eastAsia="zh-CN"/>
        </w:rPr>
        <w:t>考核</w:t>
      </w:r>
    </w:p>
    <w:p>
      <w:pPr>
        <w:pStyle w:val="67"/>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在中长期电量按合同价格结算、现货偏差电量按现货价格结算的基础上，机组当月中长期交易成交电量之和应不小于其全月市场交易上网电量（为负时置零）的 D3%。不足电量部分以月度为周期，按度电回收价格进行</w:t>
      </w:r>
      <w:r>
        <w:rPr>
          <w:rFonts w:hint="eastAsia" w:ascii="仿宋_GB2312" w:hAnsi="仿宋_GB2312" w:eastAsia="仿宋_GB2312" w:cs="仿宋_GB2312"/>
          <w:color w:val="auto"/>
          <w:sz w:val="32"/>
          <w:szCs w:val="32"/>
          <w:highlight w:val="none"/>
          <w:lang w:eastAsia="zh-CN"/>
        </w:rPr>
        <w:t>考核</w:t>
      </w:r>
      <w:r>
        <w:rPr>
          <w:rFonts w:hint="eastAsia" w:ascii="仿宋_GB2312" w:hAnsi="仿宋_GB2312" w:eastAsia="仿宋_GB2312" w:cs="仿宋_GB2312"/>
          <w:color w:val="auto"/>
          <w:sz w:val="32"/>
          <w:szCs w:val="32"/>
          <w:highlight w:val="none"/>
        </w:rPr>
        <w:t>。具体计算公式如下：</w:t>
      </w:r>
    </w:p>
    <w:p>
      <w:pPr>
        <w:pStyle w:val="35"/>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P</w:t>
      </w:r>
      <w:r>
        <w:rPr>
          <w:rFonts w:hint="eastAsia" w:ascii="仿宋_GB2312" w:hAnsi="仿宋_GB2312" w:eastAsia="仿宋_GB2312" w:cs="仿宋_GB2312"/>
          <w:color w:val="auto"/>
          <w:sz w:val="32"/>
          <w:szCs w:val="32"/>
          <w:highlight w:val="none"/>
          <w:vertAlign w:val="subscript"/>
        </w:rPr>
        <w:t>机组度电回收价格</w:t>
      </w:r>
      <w:r>
        <w:rPr>
          <w:rFonts w:hint="eastAsia" w:ascii="仿宋_GB2312" w:hAnsi="仿宋_GB2312" w:eastAsia="仿宋_GB2312" w:cs="仿宋_GB2312"/>
          <w:color w:val="auto"/>
          <w:sz w:val="32"/>
          <w:szCs w:val="32"/>
          <w:highlight w:val="none"/>
        </w:rPr>
        <w:t>=(P</w:t>
      </w:r>
      <w:r>
        <w:rPr>
          <w:rFonts w:hint="eastAsia" w:ascii="仿宋_GB2312" w:hAnsi="仿宋_GB2312" w:eastAsia="仿宋_GB2312" w:cs="仿宋_GB2312"/>
          <w:color w:val="auto"/>
          <w:sz w:val="32"/>
          <w:szCs w:val="32"/>
          <w:highlight w:val="none"/>
          <w:vertAlign w:val="subscript"/>
        </w:rPr>
        <w:t>机组日前市场月度加权平均综合电价</w:t>
      </w:r>
      <w:r>
        <w:rPr>
          <w:rFonts w:hint="eastAsia" w:ascii="仿宋_GB2312" w:hAnsi="仿宋_GB2312" w:eastAsia="仿宋_GB2312" w:cs="仿宋_GB2312"/>
          <w:color w:val="auto"/>
          <w:sz w:val="32"/>
          <w:szCs w:val="32"/>
          <w:highlight w:val="none"/>
        </w:rPr>
        <w:t>-P</w:t>
      </w:r>
      <w:r>
        <w:rPr>
          <w:rFonts w:hint="eastAsia" w:ascii="仿宋_GB2312" w:hAnsi="仿宋_GB2312" w:eastAsia="仿宋_GB2312" w:cs="仿宋_GB2312"/>
          <w:color w:val="auto"/>
          <w:sz w:val="32"/>
          <w:szCs w:val="32"/>
          <w:highlight w:val="none"/>
          <w:vertAlign w:val="subscript"/>
        </w:rPr>
        <w:t>月竞均价</w:t>
      </w:r>
      <w:r>
        <w:rPr>
          <w:rFonts w:hint="eastAsia" w:ascii="仿宋_GB2312" w:hAnsi="仿宋_GB2312" w:eastAsia="仿宋_GB2312" w:cs="仿宋_GB2312"/>
          <w:color w:val="auto"/>
          <w:sz w:val="32"/>
          <w:szCs w:val="32"/>
          <w:highlight w:val="none"/>
        </w:rPr>
        <w:t>)×h1</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vertAlign w:val="subscript"/>
        </w:rPr>
      </w:pPr>
      <w:r>
        <w:rPr>
          <w:rFonts w:hint="eastAsia" w:ascii="仿宋_GB2312" w:hAnsi="仿宋_GB2312" w:eastAsia="仿宋_GB2312" w:cs="仿宋_GB2312"/>
          <w:color w:val="auto"/>
          <w:sz w:val="32"/>
          <w:szCs w:val="32"/>
          <w:highlight w:val="none"/>
        </w:rPr>
        <w:t>P</w:t>
      </w:r>
      <w:r>
        <w:rPr>
          <w:rFonts w:hint="eastAsia" w:ascii="仿宋_GB2312" w:hAnsi="仿宋_GB2312" w:eastAsia="仿宋_GB2312" w:cs="仿宋_GB2312"/>
          <w:color w:val="auto"/>
          <w:sz w:val="32"/>
          <w:szCs w:val="32"/>
          <w:highlight w:val="none"/>
          <w:vertAlign w:val="subscript"/>
        </w:rPr>
        <w:t>度电回收价格</w:t>
      </w:r>
      <w:r>
        <w:rPr>
          <w:rFonts w:hint="eastAsia" w:ascii="仿宋_GB2312" w:hAnsi="仿宋_GB2312" w:eastAsia="仿宋_GB2312" w:cs="仿宋_GB2312"/>
          <w:bCs/>
          <w:color w:val="auto"/>
          <w:sz w:val="32"/>
          <w:szCs w:val="32"/>
          <w:highlight w:val="none"/>
        </w:rPr>
        <w:t>为发电</w:t>
      </w:r>
      <w:r>
        <w:rPr>
          <w:rStyle w:val="47"/>
          <w:rFonts w:hint="eastAsia" w:ascii="仿宋_GB2312" w:hAnsi="仿宋_GB2312" w:eastAsia="仿宋_GB2312" w:cs="仿宋_GB2312"/>
          <w:color w:val="auto"/>
          <w:sz w:val="32"/>
          <w:szCs w:val="32"/>
          <w:highlight w:val="none"/>
        </w:rPr>
        <w:t>侧</w:t>
      </w:r>
      <w:r>
        <w:rPr>
          <w:rFonts w:hint="eastAsia" w:ascii="仿宋_GB2312" w:hAnsi="仿宋_GB2312" w:eastAsia="仿宋_GB2312" w:cs="仿宋_GB2312"/>
          <w:color w:val="auto"/>
          <w:sz w:val="32"/>
          <w:szCs w:val="32"/>
          <w:highlight w:val="none"/>
        </w:rPr>
        <w:t>度电回收价格，该价格为负时置零</w:t>
      </w:r>
      <w:r>
        <w:rPr>
          <w:rStyle w:val="47"/>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P</w:t>
      </w:r>
      <w:r>
        <w:rPr>
          <w:rFonts w:hint="eastAsia" w:ascii="仿宋_GB2312" w:hAnsi="仿宋_GB2312" w:eastAsia="仿宋_GB2312" w:cs="仿宋_GB2312"/>
          <w:color w:val="auto"/>
          <w:sz w:val="32"/>
          <w:szCs w:val="32"/>
          <w:highlight w:val="none"/>
          <w:vertAlign w:val="subscript"/>
        </w:rPr>
        <w:t>月竞均价</w:t>
      </w:r>
      <w:r>
        <w:rPr>
          <w:rFonts w:hint="eastAsia" w:ascii="仿宋_GB2312" w:hAnsi="仿宋_GB2312" w:eastAsia="仿宋_GB2312" w:cs="仿宋_GB2312"/>
          <w:bCs/>
          <w:color w:val="auto"/>
          <w:sz w:val="32"/>
          <w:szCs w:val="32"/>
          <w:highlight w:val="none"/>
        </w:rPr>
        <w:t>为当月月度集中竞争交易平均价</w:t>
      </w:r>
      <w:r>
        <w:rPr>
          <w:rFonts w:hint="eastAsia" w:ascii="仿宋_GB2312" w:hAnsi="仿宋_GB2312" w:eastAsia="仿宋_GB2312" w:cs="仿宋_GB2312"/>
          <w:color w:val="auto"/>
          <w:sz w:val="32"/>
          <w:szCs w:val="32"/>
          <w:highlight w:val="none"/>
        </w:rPr>
        <w:t>，具体以试运行实施方案为准；</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P</w:t>
      </w:r>
      <w:r>
        <w:rPr>
          <w:rFonts w:hint="eastAsia" w:ascii="仿宋_GB2312" w:hAnsi="仿宋_GB2312" w:eastAsia="仿宋_GB2312" w:cs="仿宋_GB2312"/>
          <w:color w:val="auto"/>
          <w:sz w:val="32"/>
          <w:szCs w:val="32"/>
          <w:highlight w:val="none"/>
          <w:vertAlign w:val="subscript"/>
        </w:rPr>
        <w:t>机组日前市场月度加权平均综合电价</w:t>
      </w:r>
      <w:r>
        <w:rPr>
          <w:rFonts w:hint="eastAsia" w:ascii="仿宋_GB2312" w:hAnsi="仿宋_GB2312" w:eastAsia="仿宋_GB2312" w:cs="仿宋_GB2312"/>
          <w:bCs/>
          <w:color w:val="auto"/>
          <w:sz w:val="32"/>
          <w:szCs w:val="32"/>
          <w:highlight w:val="none"/>
        </w:rPr>
        <w:t>为</w:t>
      </w:r>
      <w:r>
        <w:rPr>
          <w:rFonts w:hint="eastAsia" w:ascii="仿宋_GB2312" w:hAnsi="仿宋_GB2312" w:eastAsia="仿宋_GB2312" w:cs="仿宋_GB2312"/>
          <w:color w:val="auto"/>
          <w:sz w:val="32"/>
          <w:szCs w:val="32"/>
          <w:highlight w:val="none"/>
        </w:rPr>
        <w:t>日前市场当月内该机组所有节点电价按对应时段上网电量（</w:t>
      </w:r>
      <w:r>
        <w:rPr>
          <w:rFonts w:hint="eastAsia" w:ascii="仿宋_GB2312" w:hAnsi="仿宋_GB2312" w:eastAsia="仿宋_GB2312" w:cs="仿宋_GB2312"/>
          <w:bCs/>
          <w:color w:val="auto"/>
          <w:sz w:val="32"/>
          <w:szCs w:val="32"/>
          <w:highlight w:val="none"/>
        </w:rPr>
        <w:t>已扣减该时段的优先计划电量</w:t>
      </w:r>
      <w:r>
        <w:rPr>
          <w:rFonts w:hint="eastAsia" w:ascii="仿宋_GB2312" w:hAnsi="仿宋_GB2312" w:eastAsia="仿宋_GB2312" w:cs="仿宋_GB2312"/>
          <w:color w:val="auto"/>
          <w:sz w:val="32"/>
          <w:szCs w:val="32"/>
          <w:highlight w:val="none"/>
        </w:rPr>
        <w:t>）占比进行加权计算值；</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D3%为发电侧全月中长期直接交易成交电量不少于月度市场直接交易上网电量的允许偏差范围；</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h1为调整系数。</w:t>
      </w:r>
    </w:p>
    <w:p>
      <w:pPr>
        <w:pStyle w:val="35"/>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现货市场初期，当月月度集中竞争交易平均价不存在情况下</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未成交或没有形成价格</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，采用全市场中长期交易月度加权平均价。</w:t>
      </w:r>
    </w:p>
    <w:p>
      <w:pPr>
        <w:pStyle w:val="67"/>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机组中长期</w:t>
      </w:r>
      <w:r>
        <w:rPr>
          <w:rFonts w:hint="eastAsia" w:ascii="仿宋_GB2312" w:hAnsi="仿宋_GB2312" w:eastAsia="仿宋_GB2312" w:cs="仿宋_GB2312"/>
          <w:color w:val="auto"/>
          <w:sz w:val="32"/>
          <w:szCs w:val="32"/>
          <w:highlight w:val="none"/>
          <w:lang w:eastAsia="zh-CN"/>
        </w:rPr>
        <w:t>交易</w:t>
      </w:r>
      <w:r>
        <w:rPr>
          <w:rFonts w:hint="eastAsia" w:ascii="仿宋_GB2312" w:hAnsi="仿宋_GB2312" w:eastAsia="仿宋_GB2312" w:cs="仿宋_GB2312"/>
          <w:color w:val="auto"/>
          <w:sz w:val="32"/>
          <w:szCs w:val="32"/>
          <w:highlight w:val="none"/>
        </w:rPr>
        <w:t>偏差</w:t>
      </w:r>
      <w:r>
        <w:rPr>
          <w:rFonts w:hint="eastAsia" w:ascii="仿宋_GB2312" w:hAnsi="仿宋_GB2312" w:eastAsia="仿宋_GB2312" w:cs="仿宋_GB2312"/>
          <w:color w:val="auto"/>
          <w:sz w:val="32"/>
          <w:szCs w:val="32"/>
          <w:highlight w:val="none"/>
          <w:lang w:eastAsia="zh-CN"/>
        </w:rPr>
        <w:t>考核</w:t>
      </w:r>
      <w:r>
        <w:rPr>
          <w:rFonts w:hint="eastAsia" w:ascii="仿宋_GB2312" w:hAnsi="仿宋_GB2312" w:eastAsia="仿宋_GB2312" w:cs="仿宋_GB2312"/>
          <w:color w:val="auto"/>
          <w:sz w:val="32"/>
          <w:szCs w:val="32"/>
          <w:highlight w:val="none"/>
        </w:rPr>
        <w:t>电费以月度为单位，由用户侧按实际用电量比例参与分享，电网企业代理购电按电网企业代购市场实际分时电量比例参与分享。月度结算结果发布以后，如电量差错等原因发生退补，机组日前市场月度加权平均综合电价不作调整，发电侧中长期交易偏差</w:t>
      </w:r>
      <w:r>
        <w:rPr>
          <w:rFonts w:hint="eastAsia" w:ascii="仿宋_GB2312" w:hAnsi="仿宋_GB2312" w:eastAsia="仿宋_GB2312" w:cs="仿宋_GB2312"/>
          <w:color w:val="auto"/>
          <w:sz w:val="32"/>
          <w:szCs w:val="32"/>
          <w:highlight w:val="none"/>
          <w:lang w:eastAsia="zh-CN"/>
        </w:rPr>
        <w:t>考核</w:t>
      </w:r>
      <w:r>
        <w:rPr>
          <w:rFonts w:hint="eastAsia" w:ascii="仿宋_GB2312" w:hAnsi="仿宋_GB2312" w:eastAsia="仿宋_GB2312" w:cs="仿宋_GB2312"/>
          <w:color w:val="auto"/>
          <w:sz w:val="32"/>
          <w:szCs w:val="32"/>
          <w:highlight w:val="none"/>
        </w:rPr>
        <w:t>电费原则上不作调整。</w:t>
      </w:r>
    </w:p>
    <w:p>
      <w:pPr>
        <w:pStyle w:val="67"/>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如因电网企业计量发生故障，导致电量出现重大偏差，致使发电企业没有足量签订中长期合同的，可对其相应部分的中长期</w:t>
      </w:r>
      <w:r>
        <w:rPr>
          <w:rFonts w:hint="eastAsia" w:ascii="仿宋_GB2312" w:hAnsi="仿宋_GB2312" w:eastAsia="仿宋_GB2312" w:cs="仿宋_GB2312"/>
          <w:color w:val="auto"/>
          <w:sz w:val="32"/>
          <w:szCs w:val="32"/>
          <w:highlight w:val="none"/>
          <w:lang w:eastAsia="zh-CN"/>
        </w:rPr>
        <w:t>交易</w:t>
      </w:r>
      <w:r>
        <w:rPr>
          <w:rFonts w:hint="eastAsia" w:ascii="仿宋_GB2312" w:hAnsi="仿宋_GB2312" w:eastAsia="仿宋_GB2312" w:cs="仿宋_GB2312"/>
          <w:color w:val="auto"/>
          <w:sz w:val="32"/>
          <w:szCs w:val="32"/>
          <w:highlight w:val="none"/>
        </w:rPr>
        <w:t>偏差</w:t>
      </w:r>
      <w:r>
        <w:rPr>
          <w:rFonts w:hint="eastAsia" w:ascii="仿宋_GB2312" w:hAnsi="仿宋_GB2312" w:eastAsia="仿宋_GB2312" w:cs="仿宋_GB2312"/>
          <w:color w:val="auto"/>
          <w:sz w:val="32"/>
          <w:szCs w:val="32"/>
          <w:highlight w:val="none"/>
          <w:lang w:eastAsia="zh-CN"/>
        </w:rPr>
        <w:t>考核电费</w:t>
      </w:r>
      <w:r>
        <w:rPr>
          <w:rFonts w:hint="eastAsia" w:ascii="仿宋_GB2312" w:hAnsi="仿宋_GB2312" w:eastAsia="仿宋_GB2312" w:cs="仿宋_GB2312"/>
          <w:color w:val="auto"/>
          <w:sz w:val="32"/>
          <w:szCs w:val="32"/>
          <w:highlight w:val="none"/>
        </w:rPr>
        <w:t>进行豁免。交易中心应在年度清算工作中，进行豁免费用的计算，并重新分摊。</w:t>
      </w:r>
    </w:p>
    <w:p>
      <w:pPr>
        <w:pStyle w:val="66"/>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outlineLvl w:val="1"/>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7.2.3</w:t>
      </w:r>
      <w:r>
        <w:rPr>
          <w:rFonts w:hint="eastAsia" w:ascii="仿宋_GB2312" w:hAnsi="仿宋_GB2312" w:eastAsia="仿宋_GB2312" w:cs="仿宋_GB2312"/>
          <w:b w:val="0"/>
          <w:bCs w:val="0"/>
          <w:color w:val="auto"/>
          <w:sz w:val="32"/>
          <w:szCs w:val="32"/>
          <w:highlight w:val="none"/>
        </w:rPr>
        <w:t>用户侧</w:t>
      </w:r>
      <w:r>
        <w:rPr>
          <w:rFonts w:hint="eastAsia" w:ascii="仿宋_GB2312" w:hAnsi="仿宋_GB2312" w:eastAsia="仿宋_GB2312" w:cs="仿宋_GB2312"/>
          <w:b w:val="0"/>
          <w:bCs w:val="0"/>
          <w:color w:val="auto"/>
          <w:sz w:val="32"/>
          <w:szCs w:val="32"/>
          <w:highlight w:val="none"/>
          <w:lang w:eastAsia="zh-CN"/>
        </w:rPr>
        <w:t>和电网企业代理购电中长期偏差</w:t>
      </w:r>
      <w:r>
        <w:rPr>
          <w:rFonts w:hint="eastAsia" w:ascii="仿宋_GB2312" w:hAnsi="仿宋_GB2312" w:eastAsia="仿宋_GB2312" w:cs="仿宋_GB2312"/>
          <w:b w:val="0"/>
          <w:bCs w:val="0"/>
          <w:color w:val="auto"/>
          <w:sz w:val="32"/>
          <w:szCs w:val="32"/>
          <w:highlight w:val="none"/>
          <w:lang w:val="en-US" w:eastAsia="zh-CN"/>
        </w:rPr>
        <w:t>考核</w:t>
      </w:r>
    </w:p>
    <w:p>
      <w:pPr>
        <w:pStyle w:val="35"/>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b w:val="0"/>
          <w:bCs w:val="0"/>
          <w:color w:val="auto"/>
          <w:sz w:val="32"/>
          <w:szCs w:val="32"/>
          <w:highlight w:val="none"/>
        </w:rPr>
      </w:pPr>
      <w:r>
        <w:rPr>
          <w:rFonts w:hint="default" w:ascii="仿宋_GB2312" w:hAnsi="仿宋_GB2312" w:eastAsia="仿宋_GB2312" w:cs="仿宋_GB2312"/>
          <w:b w:val="0"/>
          <w:bCs w:val="0"/>
          <w:color w:val="auto"/>
          <w:sz w:val="32"/>
          <w:szCs w:val="32"/>
          <w:highlight w:val="none"/>
          <w:lang w:val="en-US"/>
        </w:rPr>
        <w:t>用户侧</w:t>
      </w:r>
      <w:r>
        <w:rPr>
          <w:rFonts w:hint="eastAsia" w:ascii="仿宋_GB2312" w:hAnsi="仿宋_GB2312" w:eastAsia="仿宋_GB2312" w:cs="仿宋_GB2312"/>
          <w:b w:val="0"/>
          <w:bCs w:val="0"/>
          <w:color w:val="auto"/>
          <w:sz w:val="32"/>
          <w:szCs w:val="32"/>
          <w:highlight w:val="none"/>
        </w:rPr>
        <w:t>当月</w:t>
      </w:r>
      <w:r>
        <w:rPr>
          <w:rFonts w:hint="eastAsia" w:ascii="仿宋_GB2312" w:hAnsi="仿宋_GB2312" w:eastAsia="仿宋_GB2312" w:cs="仿宋_GB2312"/>
          <w:b w:val="0"/>
          <w:bCs w:val="0"/>
          <w:color w:val="auto"/>
          <w:sz w:val="32"/>
          <w:szCs w:val="32"/>
          <w:highlight w:val="none"/>
          <w:lang w:eastAsia="zh-CN"/>
        </w:rPr>
        <w:t>中长期</w:t>
      </w:r>
      <w:r>
        <w:rPr>
          <w:rFonts w:hint="default" w:ascii="仿宋_GB2312" w:hAnsi="仿宋_GB2312" w:eastAsia="仿宋_GB2312" w:cs="仿宋_GB2312"/>
          <w:b w:val="0"/>
          <w:bCs w:val="0"/>
          <w:color w:val="auto"/>
          <w:sz w:val="32"/>
          <w:szCs w:val="32"/>
          <w:highlight w:val="none"/>
          <w:lang w:val="en-US" w:eastAsia="zh-CN"/>
        </w:rPr>
        <w:t>偏差</w:t>
      </w:r>
      <w:r>
        <w:rPr>
          <w:rFonts w:hint="eastAsia" w:ascii="仿宋_GB2312" w:hAnsi="仿宋_GB2312" w:eastAsia="仿宋_GB2312" w:cs="仿宋_GB2312"/>
          <w:b w:val="0"/>
          <w:bCs w:val="0"/>
          <w:color w:val="auto"/>
          <w:sz w:val="32"/>
          <w:szCs w:val="32"/>
          <w:highlight w:val="none"/>
          <w:lang w:eastAsia="zh-CN"/>
        </w:rPr>
        <w:t>费用</w:t>
      </w:r>
      <w:r>
        <w:rPr>
          <w:rFonts w:hint="eastAsia" w:ascii="仿宋_GB2312" w:hAnsi="仿宋_GB2312" w:eastAsia="仿宋_GB2312" w:cs="仿宋_GB2312"/>
          <w:b w:val="0"/>
          <w:bCs w:val="0"/>
          <w:color w:val="auto"/>
          <w:sz w:val="32"/>
          <w:szCs w:val="32"/>
          <w:highlight w:val="none"/>
        </w:rPr>
        <w:t>按中长期交易偏差考核电费与用电需求申报考核电费两者较大值进行结算</w:t>
      </w:r>
      <w:r>
        <w:rPr>
          <w:rFonts w:hint="eastAsia" w:ascii="仿宋_GB2312" w:hAnsi="仿宋_GB2312" w:eastAsia="仿宋_GB2312" w:cs="仿宋_GB2312"/>
          <w:b w:val="0"/>
          <w:bCs w:val="0"/>
          <w:color w:val="auto"/>
          <w:sz w:val="32"/>
          <w:szCs w:val="32"/>
          <w:highlight w:val="none"/>
          <w:lang w:eastAsia="zh-CN"/>
        </w:rPr>
        <w:t>；电网企业代理购电</w:t>
      </w:r>
      <w:r>
        <w:rPr>
          <w:rFonts w:hint="eastAsia" w:ascii="仿宋_GB2312" w:hAnsi="仿宋_GB2312" w:eastAsia="仿宋_GB2312" w:cs="仿宋_GB2312"/>
          <w:b w:val="0"/>
          <w:bCs w:val="0"/>
          <w:color w:val="auto"/>
          <w:sz w:val="32"/>
          <w:szCs w:val="32"/>
          <w:highlight w:val="none"/>
        </w:rPr>
        <w:t>按中长期交易偏差考核电费</w:t>
      </w:r>
      <w:r>
        <w:rPr>
          <w:rFonts w:hint="eastAsia" w:ascii="仿宋_GB2312" w:hAnsi="仿宋_GB2312" w:eastAsia="仿宋_GB2312" w:cs="仿宋_GB2312"/>
          <w:b w:val="0"/>
          <w:bCs w:val="0"/>
          <w:color w:val="auto"/>
          <w:sz w:val="32"/>
          <w:szCs w:val="32"/>
          <w:highlight w:val="none"/>
          <w:lang w:eastAsia="zh-CN"/>
        </w:rPr>
        <w:t>进行结</w:t>
      </w:r>
      <w:r>
        <w:rPr>
          <w:rFonts w:hint="eastAsia" w:ascii="仿宋_GB2312" w:hAnsi="仿宋_GB2312" w:eastAsia="仿宋_GB2312" w:cs="仿宋_GB2312"/>
          <w:b w:val="0"/>
          <w:bCs w:val="0"/>
          <w:color w:val="auto"/>
          <w:sz w:val="32"/>
          <w:szCs w:val="32"/>
          <w:highlight w:val="none"/>
          <w:lang w:val="en-US" w:eastAsia="zh-CN"/>
        </w:rPr>
        <w:t>算</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由发电侧机组按上网电量（已扣减该时段的优先计划电量）的比例分享。允许的偏差考核范围和调整系数，在</w:t>
      </w:r>
      <w:r>
        <w:rPr>
          <w:rFonts w:hint="eastAsia" w:ascii="仿宋_GB2312" w:hAnsi="仿宋_GB2312" w:eastAsia="仿宋_GB2312" w:cs="仿宋_GB2312"/>
          <w:b w:val="0"/>
          <w:bCs w:val="0"/>
          <w:color w:val="auto"/>
          <w:sz w:val="32"/>
          <w:szCs w:val="32"/>
          <w:highlight w:val="none"/>
          <w:lang w:val="en-US" w:eastAsia="zh-CN"/>
        </w:rPr>
        <w:t>省内</w:t>
      </w:r>
      <w:r>
        <w:rPr>
          <w:rFonts w:hint="default" w:ascii="仿宋_GB2312" w:hAnsi="仿宋_GB2312" w:eastAsia="仿宋_GB2312" w:cs="仿宋_GB2312"/>
          <w:b w:val="0"/>
          <w:bCs w:val="0"/>
          <w:color w:val="auto"/>
          <w:sz w:val="32"/>
          <w:szCs w:val="32"/>
          <w:highlight w:val="none"/>
          <w:lang w:val="en-US"/>
        </w:rPr>
        <w:t>年度</w:t>
      </w:r>
      <w:r>
        <w:rPr>
          <w:rFonts w:hint="eastAsia" w:ascii="仿宋_GB2312" w:hAnsi="仿宋_GB2312" w:eastAsia="仿宋_GB2312" w:cs="仿宋_GB2312"/>
          <w:b w:val="0"/>
          <w:bCs w:val="0"/>
          <w:color w:val="auto"/>
          <w:sz w:val="32"/>
          <w:szCs w:val="32"/>
          <w:highlight w:val="none"/>
          <w:lang w:val="en-US" w:eastAsia="zh-CN"/>
        </w:rPr>
        <w:t>实施</w:t>
      </w:r>
      <w:r>
        <w:rPr>
          <w:rFonts w:hint="eastAsia" w:ascii="仿宋_GB2312" w:hAnsi="仿宋_GB2312" w:eastAsia="仿宋_GB2312" w:cs="仿宋_GB2312"/>
          <w:b w:val="0"/>
          <w:bCs w:val="0"/>
          <w:color w:val="auto"/>
          <w:sz w:val="32"/>
          <w:szCs w:val="32"/>
          <w:highlight w:val="none"/>
        </w:rPr>
        <w:t>方案中明确。</w:t>
      </w:r>
    </w:p>
    <w:p>
      <w:pPr>
        <w:pStyle w:val="67"/>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7.2.3.1</w:t>
      </w:r>
      <w:r>
        <w:rPr>
          <w:rFonts w:hint="default" w:ascii="仿宋_GB2312" w:hAnsi="仿宋_GB2312" w:eastAsia="仿宋_GB2312" w:cs="仿宋_GB2312"/>
          <w:b w:val="0"/>
          <w:bCs w:val="0"/>
          <w:color w:val="auto"/>
          <w:sz w:val="32"/>
          <w:szCs w:val="32"/>
          <w:highlight w:val="none"/>
          <w:lang w:val="en-US"/>
        </w:rPr>
        <w:t>用户侧</w:t>
      </w:r>
      <w:r>
        <w:rPr>
          <w:rFonts w:hint="eastAsia" w:ascii="仿宋_GB2312" w:hAnsi="仿宋_GB2312" w:eastAsia="仿宋_GB2312" w:cs="仿宋_GB2312"/>
          <w:b w:val="0"/>
          <w:bCs w:val="0"/>
          <w:color w:val="auto"/>
          <w:sz w:val="32"/>
          <w:szCs w:val="32"/>
          <w:highlight w:val="none"/>
          <w:lang w:eastAsia="zh-CN"/>
        </w:rPr>
        <w:t>和电网企业代理购电</w:t>
      </w:r>
      <w:r>
        <w:rPr>
          <w:rFonts w:hint="eastAsia" w:ascii="仿宋_GB2312" w:hAnsi="仿宋_GB2312" w:eastAsia="仿宋_GB2312" w:cs="仿宋_GB2312"/>
          <w:b w:val="0"/>
          <w:bCs w:val="0"/>
          <w:color w:val="auto"/>
          <w:sz w:val="32"/>
          <w:szCs w:val="32"/>
          <w:highlight w:val="none"/>
        </w:rPr>
        <w:t>中长期交易偏差考核</w:t>
      </w:r>
    </w:p>
    <w:p>
      <w:pPr>
        <w:pStyle w:val="35"/>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在中长期电量按合同价格结算、现货偏差电量按现货价格结算的基础上，用户侧</w:t>
      </w:r>
      <w:r>
        <w:rPr>
          <w:rFonts w:hint="eastAsia" w:ascii="仿宋_GB2312" w:hAnsi="仿宋_GB2312" w:eastAsia="仿宋_GB2312" w:cs="仿宋_GB2312"/>
          <w:b w:val="0"/>
          <w:bCs w:val="0"/>
          <w:color w:val="auto"/>
          <w:sz w:val="32"/>
          <w:szCs w:val="32"/>
          <w:highlight w:val="none"/>
          <w:lang w:eastAsia="zh-CN"/>
        </w:rPr>
        <w:t>和电网企业代理购电</w:t>
      </w:r>
      <w:r>
        <w:rPr>
          <w:rFonts w:hint="eastAsia" w:ascii="仿宋_GB2312" w:hAnsi="仿宋_GB2312" w:eastAsia="仿宋_GB2312" w:cs="仿宋_GB2312"/>
          <w:b w:val="0"/>
          <w:bCs w:val="0"/>
          <w:color w:val="auto"/>
          <w:sz w:val="32"/>
          <w:szCs w:val="32"/>
          <w:highlight w:val="none"/>
          <w:lang w:val="en-US" w:eastAsia="zh-CN"/>
        </w:rPr>
        <w:t>当月</w:t>
      </w:r>
      <w:r>
        <w:rPr>
          <w:rFonts w:hint="eastAsia" w:ascii="仿宋_GB2312" w:hAnsi="仿宋_GB2312" w:eastAsia="仿宋_GB2312" w:cs="仿宋_GB2312"/>
          <w:b w:val="0"/>
          <w:bCs w:val="0"/>
          <w:color w:val="auto"/>
          <w:sz w:val="32"/>
          <w:szCs w:val="32"/>
          <w:highlight w:val="none"/>
        </w:rPr>
        <w:t>的中长期成交电量之和应不小于其月度实际用电量的D1%。不足电量部分以月度为周期，按度电回收价格进行收益回收，具体计算公式如下：</w:t>
      </w:r>
    </w:p>
    <w:p>
      <w:pPr>
        <w:pStyle w:val="35"/>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P</w:t>
      </w:r>
      <w:r>
        <w:rPr>
          <w:rFonts w:hint="eastAsia" w:ascii="仿宋_GB2312" w:hAnsi="仿宋_GB2312" w:eastAsia="仿宋_GB2312" w:cs="仿宋_GB2312"/>
          <w:b w:val="0"/>
          <w:bCs w:val="0"/>
          <w:color w:val="auto"/>
          <w:sz w:val="32"/>
          <w:szCs w:val="32"/>
          <w:highlight w:val="none"/>
          <w:vertAlign w:val="subscript"/>
        </w:rPr>
        <w:t>度电回收价格</w:t>
      </w:r>
      <w:r>
        <w:rPr>
          <w:rFonts w:hint="eastAsia" w:ascii="仿宋_GB2312" w:hAnsi="仿宋_GB2312" w:eastAsia="仿宋_GB2312" w:cs="仿宋_GB2312"/>
          <w:b w:val="0"/>
          <w:bCs w:val="0"/>
          <w:color w:val="auto"/>
          <w:sz w:val="32"/>
          <w:szCs w:val="32"/>
          <w:highlight w:val="none"/>
        </w:rPr>
        <w:t>=(P</w:t>
      </w:r>
      <w:r>
        <w:rPr>
          <w:rFonts w:hint="eastAsia" w:ascii="仿宋_GB2312" w:hAnsi="仿宋_GB2312" w:eastAsia="仿宋_GB2312" w:cs="仿宋_GB2312"/>
          <w:b w:val="0"/>
          <w:bCs w:val="0"/>
          <w:color w:val="auto"/>
          <w:sz w:val="32"/>
          <w:szCs w:val="32"/>
          <w:highlight w:val="none"/>
          <w:vertAlign w:val="subscript"/>
        </w:rPr>
        <w:t>月竞均价</w:t>
      </w:r>
      <w:r>
        <w:rPr>
          <w:rFonts w:hint="eastAsia" w:ascii="仿宋_GB2312" w:hAnsi="仿宋_GB2312" w:eastAsia="仿宋_GB2312" w:cs="仿宋_GB2312"/>
          <w:b w:val="0"/>
          <w:bCs w:val="0"/>
          <w:color w:val="auto"/>
          <w:sz w:val="32"/>
          <w:szCs w:val="32"/>
          <w:highlight w:val="none"/>
        </w:rPr>
        <w:t>-P</w:t>
      </w:r>
      <w:r>
        <w:rPr>
          <w:rFonts w:hint="eastAsia" w:ascii="仿宋_GB2312" w:hAnsi="仿宋_GB2312" w:eastAsia="仿宋_GB2312" w:cs="仿宋_GB2312"/>
          <w:b w:val="0"/>
          <w:bCs w:val="0"/>
          <w:color w:val="auto"/>
          <w:sz w:val="32"/>
          <w:szCs w:val="32"/>
          <w:highlight w:val="none"/>
          <w:vertAlign w:val="subscript"/>
        </w:rPr>
        <w:t>日前市场月度加权平均综合电价</w:t>
      </w:r>
      <w:r>
        <w:rPr>
          <w:rFonts w:hint="eastAsia" w:ascii="仿宋_GB2312" w:hAnsi="仿宋_GB2312" w:eastAsia="仿宋_GB2312" w:cs="仿宋_GB2312"/>
          <w:b w:val="0"/>
          <w:bCs w:val="0"/>
          <w:color w:val="auto"/>
          <w:sz w:val="32"/>
          <w:szCs w:val="32"/>
          <w:highlight w:val="none"/>
        </w:rPr>
        <w:t>)×h1。</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P</w:t>
      </w:r>
      <w:r>
        <w:rPr>
          <w:rFonts w:hint="eastAsia" w:ascii="仿宋_GB2312" w:hAnsi="仿宋_GB2312" w:eastAsia="仿宋_GB2312" w:cs="仿宋_GB2312"/>
          <w:b w:val="0"/>
          <w:bCs w:val="0"/>
          <w:color w:val="auto"/>
          <w:sz w:val="32"/>
          <w:szCs w:val="32"/>
          <w:highlight w:val="none"/>
          <w:vertAlign w:val="subscript"/>
        </w:rPr>
        <w:t>度电回收价格</w:t>
      </w:r>
      <w:r>
        <w:rPr>
          <w:rFonts w:hint="eastAsia" w:ascii="仿宋_GB2312" w:hAnsi="仿宋_GB2312" w:eastAsia="仿宋_GB2312" w:cs="仿宋_GB2312"/>
          <w:b w:val="0"/>
          <w:bCs w:val="0"/>
          <w:color w:val="auto"/>
          <w:sz w:val="32"/>
          <w:szCs w:val="32"/>
          <w:highlight w:val="none"/>
        </w:rPr>
        <w:t>为</w:t>
      </w:r>
      <w:r>
        <w:rPr>
          <w:rFonts w:hint="eastAsia" w:ascii="仿宋_GB2312" w:hAnsi="仿宋_GB2312" w:eastAsia="仿宋_GB2312" w:cs="仿宋_GB2312"/>
          <w:b w:val="0"/>
          <w:bCs w:val="0"/>
          <w:color w:val="auto"/>
          <w:kern w:val="2"/>
          <w:sz w:val="32"/>
          <w:szCs w:val="32"/>
          <w:highlight w:val="none"/>
        </w:rPr>
        <w:t>中长期交易偏差</w:t>
      </w:r>
      <w:r>
        <w:rPr>
          <w:rFonts w:hint="eastAsia" w:ascii="仿宋_GB2312" w:hAnsi="仿宋_GB2312" w:eastAsia="仿宋_GB2312" w:cs="仿宋_GB2312"/>
          <w:b w:val="0"/>
          <w:bCs w:val="0"/>
          <w:color w:val="auto"/>
          <w:kern w:val="2"/>
          <w:sz w:val="32"/>
          <w:szCs w:val="32"/>
          <w:highlight w:val="none"/>
          <w:lang w:eastAsia="zh-CN"/>
        </w:rPr>
        <w:t>收益</w:t>
      </w:r>
      <w:r>
        <w:rPr>
          <w:rFonts w:hint="eastAsia" w:ascii="仿宋_GB2312" w:hAnsi="仿宋_GB2312" w:eastAsia="仿宋_GB2312" w:cs="仿宋_GB2312"/>
          <w:b w:val="0"/>
          <w:bCs w:val="0"/>
          <w:color w:val="auto"/>
          <w:sz w:val="32"/>
          <w:szCs w:val="32"/>
          <w:highlight w:val="none"/>
        </w:rPr>
        <w:t>度电回收价格，该价格为负时置零；</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P</w:t>
      </w:r>
      <w:r>
        <w:rPr>
          <w:rFonts w:hint="eastAsia" w:ascii="仿宋_GB2312" w:hAnsi="仿宋_GB2312" w:eastAsia="仿宋_GB2312" w:cs="仿宋_GB2312"/>
          <w:b w:val="0"/>
          <w:bCs w:val="0"/>
          <w:color w:val="auto"/>
          <w:sz w:val="32"/>
          <w:szCs w:val="32"/>
          <w:highlight w:val="none"/>
          <w:vertAlign w:val="subscript"/>
        </w:rPr>
        <w:t>月竞均价</w:t>
      </w:r>
      <w:r>
        <w:rPr>
          <w:rFonts w:hint="eastAsia" w:ascii="仿宋_GB2312" w:hAnsi="仿宋_GB2312" w:eastAsia="仿宋_GB2312" w:cs="仿宋_GB2312"/>
          <w:b w:val="0"/>
          <w:bCs w:val="0"/>
          <w:color w:val="auto"/>
          <w:sz w:val="32"/>
          <w:szCs w:val="32"/>
          <w:highlight w:val="none"/>
        </w:rPr>
        <w:t>为当月月度集中竞争交易平均价；</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P</w:t>
      </w:r>
      <w:r>
        <w:rPr>
          <w:rFonts w:hint="eastAsia" w:ascii="仿宋_GB2312" w:hAnsi="仿宋_GB2312" w:eastAsia="仿宋_GB2312" w:cs="仿宋_GB2312"/>
          <w:b w:val="0"/>
          <w:bCs w:val="0"/>
          <w:color w:val="auto"/>
          <w:sz w:val="32"/>
          <w:szCs w:val="32"/>
          <w:highlight w:val="none"/>
          <w:vertAlign w:val="subscript"/>
        </w:rPr>
        <w:t>日前市场月度加权平均综合电价</w:t>
      </w:r>
      <w:r>
        <w:rPr>
          <w:rFonts w:hint="eastAsia" w:ascii="仿宋_GB2312" w:hAnsi="仿宋_GB2312" w:eastAsia="仿宋_GB2312" w:cs="仿宋_GB2312"/>
          <w:b w:val="0"/>
          <w:bCs w:val="0"/>
          <w:color w:val="auto"/>
          <w:sz w:val="32"/>
          <w:szCs w:val="32"/>
          <w:highlight w:val="none"/>
        </w:rPr>
        <w:t>为日前市场当月内所有统一结算点电价按对应时段市场总电量占比进行加权计算值；</w:t>
      </w:r>
    </w:p>
    <w:p>
      <w:pPr>
        <w:pStyle w:val="35"/>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D1%为全月成交电量不少于月度实际用电量的允许偏差范围；</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h1为调整系数。</w:t>
      </w:r>
    </w:p>
    <w:p>
      <w:pPr>
        <w:pStyle w:val="35"/>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现货市场初期，当月月度集中竞争交易平均价不存在情况下</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未成交或没有形成价格</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，采用全市场中长期直接交易月度加权平均价。</w:t>
      </w:r>
    </w:p>
    <w:p>
      <w:pPr>
        <w:pStyle w:val="67"/>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7.2.3.2</w:t>
      </w:r>
      <w:r>
        <w:rPr>
          <w:rFonts w:hint="eastAsia" w:ascii="仿宋_GB2312" w:hAnsi="仿宋_GB2312" w:eastAsia="仿宋_GB2312" w:cs="仿宋_GB2312"/>
          <w:color w:val="auto"/>
          <w:sz w:val="32"/>
          <w:szCs w:val="32"/>
          <w:highlight w:val="none"/>
        </w:rPr>
        <w:t>用户侧用电需求申报偏差考核</w:t>
      </w:r>
    </w:p>
    <w:p>
      <w:pPr>
        <w:pStyle w:val="35"/>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用户侧应准确预测其当月用电需求，需求申报偏差在允许范围内的，不进行考核；需求申报偏差超出允许范围内的，超出部分电量按照度电考核价格进行结算：</w:t>
      </w:r>
    </w:p>
    <w:p>
      <w:pPr>
        <w:pStyle w:val="35"/>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R</w:t>
      </w:r>
      <w:r>
        <w:rPr>
          <w:rFonts w:hint="eastAsia" w:ascii="仿宋_GB2312" w:hAnsi="仿宋_GB2312" w:eastAsia="仿宋_GB2312" w:cs="仿宋_GB2312"/>
          <w:color w:val="auto"/>
          <w:sz w:val="32"/>
          <w:szCs w:val="32"/>
          <w:highlight w:val="none"/>
          <w:vertAlign w:val="subscript"/>
        </w:rPr>
        <w:t>需求申报偏差考核</w:t>
      </w:r>
      <w:r>
        <w:rPr>
          <w:rFonts w:hint="eastAsia" w:ascii="仿宋_GB2312" w:hAnsi="仿宋_GB2312" w:eastAsia="仿宋_GB2312" w:cs="仿宋_GB2312"/>
          <w:color w:val="auto"/>
          <w:sz w:val="32"/>
          <w:szCs w:val="32"/>
          <w:highlight w:val="none"/>
        </w:rPr>
        <w:t>=Q</w:t>
      </w:r>
      <w:r>
        <w:rPr>
          <w:rFonts w:hint="eastAsia" w:ascii="仿宋_GB2312" w:hAnsi="仿宋_GB2312" w:eastAsia="仿宋_GB2312" w:cs="仿宋_GB2312"/>
          <w:color w:val="auto"/>
          <w:sz w:val="32"/>
          <w:szCs w:val="32"/>
          <w:highlight w:val="none"/>
          <w:vertAlign w:val="subscript"/>
        </w:rPr>
        <w:t>需求申报偏差考核</w:t>
      </w:r>
      <w:r>
        <w:rPr>
          <w:rFonts w:hint="eastAsia" w:ascii="仿宋_GB2312" w:hAnsi="仿宋_GB2312" w:eastAsia="仿宋_GB2312" w:cs="仿宋_GB2312"/>
          <w:color w:val="auto"/>
          <w:sz w:val="32"/>
          <w:szCs w:val="32"/>
          <w:highlight w:val="none"/>
        </w:rPr>
        <w:t>×P</w:t>
      </w:r>
      <w:r>
        <w:rPr>
          <w:rFonts w:hint="eastAsia" w:ascii="仿宋_GB2312" w:hAnsi="仿宋_GB2312" w:eastAsia="仿宋_GB2312" w:cs="仿宋_GB2312"/>
          <w:color w:val="auto"/>
          <w:sz w:val="32"/>
          <w:szCs w:val="32"/>
          <w:highlight w:val="none"/>
          <w:vertAlign w:val="subscript"/>
        </w:rPr>
        <w:t>度电考核价格</w:t>
      </w:r>
    </w:p>
    <w:p>
      <w:pPr>
        <w:pStyle w:val="35"/>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Q</w:t>
      </w:r>
      <w:r>
        <w:rPr>
          <w:rFonts w:hint="eastAsia" w:ascii="仿宋_GB2312" w:hAnsi="仿宋_GB2312" w:eastAsia="仿宋_GB2312" w:cs="仿宋_GB2312"/>
          <w:color w:val="auto"/>
          <w:sz w:val="32"/>
          <w:szCs w:val="32"/>
          <w:highlight w:val="none"/>
          <w:vertAlign w:val="subscript"/>
        </w:rPr>
        <w:t>需求申报偏差考核</w:t>
      </w:r>
      <w:r>
        <w:rPr>
          <w:rFonts w:hint="eastAsia" w:ascii="仿宋_GB2312" w:hAnsi="仿宋_GB2312" w:eastAsia="仿宋_GB2312" w:cs="仿宋_GB2312"/>
          <w:color w:val="auto"/>
          <w:sz w:val="32"/>
          <w:szCs w:val="32"/>
          <w:highlight w:val="none"/>
        </w:rPr>
        <w:t>=|Q</w:t>
      </w:r>
      <w:r>
        <w:rPr>
          <w:rFonts w:hint="eastAsia" w:ascii="仿宋_GB2312" w:hAnsi="仿宋_GB2312" w:eastAsia="仿宋_GB2312" w:cs="仿宋_GB2312"/>
          <w:color w:val="auto"/>
          <w:sz w:val="32"/>
          <w:szCs w:val="32"/>
          <w:highlight w:val="none"/>
          <w:vertAlign w:val="subscript"/>
        </w:rPr>
        <w:t>实际用电</w:t>
      </w:r>
      <w:r>
        <w:rPr>
          <w:rFonts w:hint="eastAsia" w:ascii="仿宋_GB2312" w:hAnsi="仿宋_GB2312" w:eastAsia="仿宋_GB2312" w:cs="仿宋_GB2312"/>
          <w:color w:val="auto"/>
          <w:sz w:val="32"/>
          <w:szCs w:val="32"/>
          <w:highlight w:val="none"/>
        </w:rPr>
        <w:t>-Q</w:t>
      </w:r>
      <w:r>
        <w:rPr>
          <w:rFonts w:hint="eastAsia" w:ascii="仿宋_GB2312" w:hAnsi="仿宋_GB2312" w:eastAsia="仿宋_GB2312" w:cs="仿宋_GB2312"/>
          <w:color w:val="auto"/>
          <w:sz w:val="32"/>
          <w:szCs w:val="32"/>
          <w:highlight w:val="none"/>
          <w:vertAlign w:val="subscript"/>
        </w:rPr>
        <w:t>需求申报</w:t>
      </w:r>
      <w:r>
        <w:rPr>
          <w:rFonts w:hint="eastAsia" w:ascii="仿宋_GB2312" w:hAnsi="仿宋_GB2312" w:eastAsia="仿宋_GB2312" w:cs="仿宋_GB2312"/>
          <w:color w:val="auto"/>
          <w:sz w:val="32"/>
          <w:szCs w:val="32"/>
          <w:highlight w:val="none"/>
        </w:rPr>
        <w:t>|-Q</w:t>
      </w:r>
      <w:r>
        <w:rPr>
          <w:rFonts w:hint="eastAsia" w:ascii="仿宋_GB2312" w:hAnsi="仿宋_GB2312" w:eastAsia="仿宋_GB2312" w:cs="仿宋_GB2312"/>
          <w:color w:val="auto"/>
          <w:sz w:val="32"/>
          <w:szCs w:val="32"/>
          <w:highlight w:val="none"/>
          <w:vertAlign w:val="subscript"/>
        </w:rPr>
        <w:t>实际用电</w:t>
      </w:r>
      <w:r>
        <w:rPr>
          <w:rFonts w:hint="eastAsia" w:ascii="仿宋_GB2312" w:hAnsi="仿宋_GB2312" w:eastAsia="仿宋_GB2312" w:cs="仿宋_GB2312"/>
          <w:color w:val="auto"/>
          <w:sz w:val="32"/>
          <w:szCs w:val="32"/>
          <w:highlight w:val="none"/>
        </w:rPr>
        <w:t>×D2%</w:t>
      </w:r>
    </w:p>
    <w:p>
      <w:pPr>
        <w:pStyle w:val="35"/>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P</w:t>
      </w:r>
      <w:r>
        <w:rPr>
          <w:rFonts w:hint="eastAsia" w:ascii="仿宋_GB2312" w:hAnsi="仿宋_GB2312" w:eastAsia="仿宋_GB2312" w:cs="仿宋_GB2312"/>
          <w:color w:val="auto"/>
          <w:sz w:val="32"/>
          <w:szCs w:val="32"/>
          <w:highlight w:val="none"/>
          <w:vertAlign w:val="subscript"/>
        </w:rPr>
        <w:t>度电考核价格</w:t>
      </w:r>
      <w:r>
        <w:rPr>
          <w:rFonts w:hint="eastAsia" w:ascii="仿宋_GB2312" w:hAnsi="仿宋_GB2312" w:eastAsia="仿宋_GB2312" w:cs="仿宋_GB2312"/>
          <w:color w:val="auto"/>
          <w:sz w:val="32"/>
          <w:szCs w:val="32"/>
          <w:highlight w:val="none"/>
        </w:rPr>
        <w:t>=|P</w:t>
      </w:r>
      <w:r>
        <w:rPr>
          <w:rFonts w:hint="eastAsia" w:ascii="仿宋_GB2312" w:hAnsi="仿宋_GB2312" w:eastAsia="仿宋_GB2312" w:cs="仿宋_GB2312"/>
          <w:color w:val="auto"/>
          <w:sz w:val="32"/>
          <w:szCs w:val="32"/>
          <w:highlight w:val="none"/>
          <w:vertAlign w:val="subscript"/>
        </w:rPr>
        <w:t>月竞均价</w:t>
      </w:r>
      <w:r>
        <w:rPr>
          <w:rFonts w:hint="eastAsia" w:ascii="仿宋_GB2312" w:hAnsi="仿宋_GB2312" w:eastAsia="仿宋_GB2312" w:cs="仿宋_GB2312"/>
          <w:color w:val="auto"/>
          <w:sz w:val="32"/>
          <w:szCs w:val="32"/>
          <w:highlight w:val="none"/>
        </w:rPr>
        <w:t>-P</w:t>
      </w:r>
      <w:r>
        <w:rPr>
          <w:rFonts w:hint="eastAsia" w:ascii="仿宋_GB2312" w:hAnsi="仿宋_GB2312" w:eastAsia="仿宋_GB2312" w:cs="仿宋_GB2312"/>
          <w:color w:val="auto"/>
          <w:sz w:val="32"/>
          <w:szCs w:val="32"/>
          <w:highlight w:val="none"/>
          <w:vertAlign w:val="subscript"/>
        </w:rPr>
        <w:t>日前市场月度加权平均综合电价</w:t>
      </w:r>
      <w:r>
        <w:rPr>
          <w:rFonts w:hint="eastAsia" w:ascii="仿宋_GB2312" w:hAnsi="仿宋_GB2312" w:eastAsia="仿宋_GB2312" w:cs="仿宋_GB2312"/>
          <w:color w:val="auto"/>
          <w:sz w:val="32"/>
          <w:szCs w:val="32"/>
          <w:highlight w:val="none"/>
        </w:rPr>
        <w:t>|×h2</w:t>
      </w:r>
    </w:p>
    <w:p>
      <w:pPr>
        <w:pStyle w:val="35"/>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R</w:t>
      </w:r>
      <w:r>
        <w:rPr>
          <w:rFonts w:hint="eastAsia" w:ascii="仿宋_GB2312" w:hAnsi="仿宋_GB2312" w:eastAsia="仿宋_GB2312" w:cs="仿宋_GB2312"/>
          <w:color w:val="auto"/>
          <w:sz w:val="32"/>
          <w:szCs w:val="32"/>
          <w:highlight w:val="none"/>
          <w:vertAlign w:val="subscript"/>
        </w:rPr>
        <w:t>需求申报偏差考核</w:t>
      </w:r>
      <w:r>
        <w:rPr>
          <w:rFonts w:hint="eastAsia" w:ascii="仿宋_GB2312" w:hAnsi="仿宋_GB2312" w:eastAsia="仿宋_GB2312" w:cs="仿宋_GB2312"/>
          <w:color w:val="auto"/>
          <w:sz w:val="32"/>
          <w:szCs w:val="32"/>
          <w:highlight w:val="none"/>
        </w:rPr>
        <w:t>为需求申报偏差考核电费；</w:t>
      </w:r>
    </w:p>
    <w:p>
      <w:pPr>
        <w:pStyle w:val="35"/>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Q</w:t>
      </w:r>
      <w:r>
        <w:rPr>
          <w:rFonts w:hint="eastAsia" w:ascii="仿宋_GB2312" w:hAnsi="仿宋_GB2312" w:eastAsia="仿宋_GB2312" w:cs="仿宋_GB2312"/>
          <w:color w:val="auto"/>
          <w:sz w:val="32"/>
          <w:szCs w:val="32"/>
          <w:highlight w:val="none"/>
          <w:vertAlign w:val="subscript"/>
        </w:rPr>
        <w:t>需求申报偏差考核</w:t>
      </w:r>
      <w:r>
        <w:rPr>
          <w:rFonts w:hint="eastAsia" w:ascii="仿宋_GB2312" w:hAnsi="仿宋_GB2312" w:eastAsia="仿宋_GB2312" w:cs="仿宋_GB2312"/>
          <w:color w:val="auto"/>
          <w:sz w:val="32"/>
          <w:szCs w:val="32"/>
          <w:highlight w:val="none"/>
        </w:rPr>
        <w:t>为申报用电需求在允许偏差范围外的电量，为负时置0；</w:t>
      </w:r>
    </w:p>
    <w:p>
      <w:pPr>
        <w:pStyle w:val="35"/>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P</w:t>
      </w:r>
      <w:r>
        <w:rPr>
          <w:rFonts w:hint="eastAsia" w:ascii="仿宋_GB2312" w:hAnsi="仿宋_GB2312" w:eastAsia="仿宋_GB2312" w:cs="仿宋_GB2312"/>
          <w:color w:val="auto"/>
          <w:sz w:val="32"/>
          <w:szCs w:val="32"/>
          <w:highlight w:val="none"/>
          <w:vertAlign w:val="subscript"/>
        </w:rPr>
        <w:t>度电考核价格</w:t>
      </w:r>
      <w:r>
        <w:rPr>
          <w:rFonts w:hint="eastAsia" w:ascii="仿宋_GB2312" w:hAnsi="仿宋_GB2312" w:eastAsia="仿宋_GB2312" w:cs="仿宋_GB2312"/>
          <w:color w:val="auto"/>
          <w:sz w:val="32"/>
          <w:szCs w:val="32"/>
          <w:highlight w:val="none"/>
        </w:rPr>
        <w:t>为用户侧需求申报偏差考核度电价格；</w:t>
      </w:r>
    </w:p>
    <w:p>
      <w:pPr>
        <w:pStyle w:val="35"/>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Q</w:t>
      </w:r>
      <w:r>
        <w:rPr>
          <w:rFonts w:hint="eastAsia" w:ascii="仿宋_GB2312" w:hAnsi="仿宋_GB2312" w:eastAsia="仿宋_GB2312" w:cs="仿宋_GB2312"/>
          <w:color w:val="auto"/>
          <w:sz w:val="32"/>
          <w:szCs w:val="32"/>
          <w:highlight w:val="none"/>
          <w:vertAlign w:val="subscript"/>
        </w:rPr>
        <w:t>实际用电</w:t>
      </w:r>
      <w:r>
        <w:rPr>
          <w:rFonts w:hint="eastAsia" w:ascii="仿宋_GB2312" w:hAnsi="仿宋_GB2312" w:eastAsia="仿宋_GB2312" w:cs="仿宋_GB2312"/>
          <w:color w:val="auto"/>
          <w:sz w:val="32"/>
          <w:szCs w:val="32"/>
          <w:highlight w:val="none"/>
        </w:rPr>
        <w:t>为用户侧当月实际用电量；</w:t>
      </w:r>
    </w:p>
    <w:p>
      <w:pPr>
        <w:pStyle w:val="35"/>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Q</w:t>
      </w:r>
      <w:r>
        <w:rPr>
          <w:rFonts w:hint="eastAsia" w:ascii="仿宋_GB2312" w:hAnsi="仿宋_GB2312" w:eastAsia="仿宋_GB2312" w:cs="仿宋_GB2312"/>
          <w:color w:val="auto"/>
          <w:sz w:val="32"/>
          <w:szCs w:val="32"/>
          <w:highlight w:val="none"/>
          <w:vertAlign w:val="subscript"/>
        </w:rPr>
        <w:t>需求申报</w:t>
      </w:r>
      <w:r>
        <w:rPr>
          <w:rFonts w:hint="eastAsia" w:ascii="仿宋_GB2312" w:hAnsi="仿宋_GB2312" w:eastAsia="仿宋_GB2312" w:cs="仿宋_GB2312"/>
          <w:color w:val="auto"/>
          <w:sz w:val="32"/>
          <w:szCs w:val="32"/>
          <w:highlight w:val="none"/>
        </w:rPr>
        <w:t>为用户侧当月需求申报电量；</w:t>
      </w:r>
    </w:p>
    <w:p>
      <w:pPr>
        <w:pStyle w:val="35"/>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D2%为用户侧申报全月用电需求超出月度实际用电量的允许偏差范围；</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h2为调整系数。</w:t>
      </w:r>
    </w:p>
    <w:p>
      <w:pPr>
        <w:pStyle w:val="35"/>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现货市场初期，当月月度集中竞争交易平均价不存在情况下</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未成交或没有形成价格</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，建议采用全市场中长期交易月度加权平均价。</w:t>
      </w:r>
    </w:p>
    <w:p>
      <w:pPr>
        <w:pStyle w:val="67"/>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7.2.3.3</w:t>
      </w:r>
      <w:r>
        <w:rPr>
          <w:rFonts w:hint="eastAsia" w:ascii="仿宋_GB2312" w:hAnsi="仿宋_GB2312" w:eastAsia="仿宋_GB2312" w:cs="仿宋_GB2312"/>
          <w:color w:val="auto"/>
          <w:sz w:val="32"/>
          <w:szCs w:val="32"/>
          <w:highlight w:val="none"/>
        </w:rPr>
        <w:t>用户侧需求申报偏差考核豁免</w:t>
      </w:r>
    </w:p>
    <w:p>
      <w:pPr>
        <w:pStyle w:val="35"/>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在用户侧需求申报截止后至实际用电月期间，因政策影响（去产能、环保停产等）、不可抗力（台风、地震等自然灾害）、公共卫生事件或有序用电等原因导致企业用电行为产生较大影响的，同时当月实时市场月度加权平均综合电价低于全市场零售结算均价时，对</w:t>
      </w:r>
      <w:r>
        <w:rPr>
          <w:rFonts w:hint="eastAsia" w:ascii="仿宋_GB2312" w:hAnsi="仿宋_GB2312" w:eastAsia="仿宋_GB2312" w:cs="仿宋_GB2312"/>
          <w:color w:val="auto"/>
          <w:sz w:val="32"/>
          <w:szCs w:val="32"/>
          <w:highlight w:val="none"/>
          <w:lang w:eastAsia="zh-CN"/>
        </w:rPr>
        <w:t>用户侧</w:t>
      </w:r>
      <w:r>
        <w:rPr>
          <w:rFonts w:hint="eastAsia" w:ascii="仿宋_GB2312" w:hAnsi="仿宋_GB2312" w:eastAsia="仿宋_GB2312" w:cs="仿宋_GB2312"/>
          <w:color w:val="auto"/>
          <w:sz w:val="32"/>
          <w:szCs w:val="32"/>
          <w:highlight w:val="none"/>
        </w:rPr>
        <w:t>需求申报负偏差考核进行豁免处理。</w:t>
      </w:r>
    </w:p>
    <w:p>
      <w:pPr>
        <w:pStyle w:val="35"/>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计算售电公司相应月份需求申报考核电费时，分别剔除该售电公司代理的受影响用户的需求电量与实际用电量。对于已结算月份，且售电公司用电偏差考核取值为需求申报偏差考核电费的，按照重新计算的考核电费和已</w:t>
      </w:r>
      <w:r>
        <w:rPr>
          <w:rFonts w:hint="eastAsia" w:ascii="仿宋_GB2312" w:hAnsi="仿宋_GB2312" w:eastAsia="仿宋_GB2312" w:cs="仿宋_GB2312"/>
          <w:color w:val="auto"/>
          <w:sz w:val="32"/>
          <w:szCs w:val="32"/>
          <w:highlight w:val="none"/>
          <w:lang w:eastAsia="zh-CN"/>
        </w:rPr>
        <w:t>结算</w:t>
      </w:r>
      <w:r>
        <w:rPr>
          <w:rFonts w:hint="eastAsia" w:ascii="仿宋_GB2312" w:hAnsi="仿宋_GB2312" w:eastAsia="仿宋_GB2312" w:cs="仿宋_GB2312"/>
          <w:color w:val="auto"/>
          <w:sz w:val="32"/>
          <w:szCs w:val="32"/>
          <w:highlight w:val="none"/>
        </w:rPr>
        <w:t>考核电费的差额进行退补。如售电公司在月度需求申报时未申报该受影响用户用电需求，则该用户不纳入考核豁免范围。</w:t>
      </w:r>
    </w:p>
    <w:p>
      <w:pPr>
        <w:pStyle w:val="67"/>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月度结算结果发布以后，如电量差错等原因发生退补，日前市场月度加权平均综合电价不作调整，</w:t>
      </w:r>
      <w:r>
        <w:rPr>
          <w:rFonts w:hint="eastAsia" w:ascii="仿宋_GB2312" w:hAnsi="仿宋_GB2312" w:eastAsia="仿宋_GB2312" w:cs="仿宋_GB2312"/>
          <w:color w:val="auto"/>
          <w:sz w:val="32"/>
          <w:szCs w:val="32"/>
          <w:highlight w:val="none"/>
          <w:lang w:eastAsia="zh-CN"/>
        </w:rPr>
        <w:t>中长期交易偏差收益回收电费</w:t>
      </w:r>
      <w:r>
        <w:rPr>
          <w:rFonts w:hint="eastAsia" w:ascii="仿宋_GB2312" w:hAnsi="仿宋_GB2312" w:eastAsia="仿宋_GB2312" w:cs="仿宋_GB2312"/>
          <w:color w:val="auto"/>
          <w:sz w:val="32"/>
          <w:szCs w:val="32"/>
          <w:highlight w:val="none"/>
        </w:rPr>
        <w:t>原则上不作调整。</w:t>
      </w:r>
    </w:p>
    <w:p>
      <w:pPr>
        <w:pStyle w:val="67"/>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如因电网企业计量发生故障，导致电量出现重大偏差，致使用户自身没有足量签订中长期合同或需求申报不准确的，可对其相应部分的用电偏差考核费用进行豁免。交易中心应在年度清算工作中，进行豁免费用的计算，并重新分摊。</w:t>
      </w:r>
    </w:p>
    <w:p>
      <w:pPr>
        <w:pStyle w:val="2"/>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firstLineChars="200"/>
        <w:jc w:val="both"/>
        <w:textAlignment w:val="baseline"/>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7.2.4</w:t>
      </w:r>
      <w:r>
        <w:rPr>
          <w:rFonts w:hint="eastAsia" w:ascii="仿宋_GB2312" w:hAnsi="仿宋_GB2312" w:eastAsia="仿宋_GB2312" w:cs="仿宋_GB2312"/>
          <w:b w:val="0"/>
          <w:bCs w:val="0"/>
          <w:color w:val="auto"/>
          <w:sz w:val="32"/>
          <w:szCs w:val="32"/>
          <w:highlight w:val="none"/>
        </w:rPr>
        <w:t>用户侧</w:t>
      </w:r>
      <w:r>
        <w:rPr>
          <w:rFonts w:hint="eastAsia" w:ascii="仿宋_GB2312" w:hAnsi="仿宋_GB2312" w:eastAsia="仿宋_GB2312" w:cs="仿宋_GB2312"/>
          <w:b w:val="0"/>
          <w:bCs w:val="0"/>
          <w:color w:val="auto"/>
          <w:sz w:val="32"/>
          <w:szCs w:val="32"/>
          <w:highlight w:val="none"/>
          <w:lang w:eastAsia="zh-CN"/>
        </w:rPr>
        <w:t>和电网企业代理购电偏差收益转移</w:t>
      </w:r>
    </w:p>
    <w:p>
      <w:pPr>
        <w:pStyle w:val="2"/>
        <w:keepNext w:val="0"/>
        <w:keepLines w:val="0"/>
        <w:pageBreakBefore w:val="0"/>
        <w:widowControl/>
        <w:kinsoku w:val="0"/>
        <w:wordWrap/>
        <w:overflowPunct/>
        <w:topLinePunct w:val="0"/>
        <w:autoSpaceDE w:val="0"/>
        <w:autoSpaceDN w:val="0"/>
        <w:bidi w:val="0"/>
        <w:adjustRightInd w:val="0"/>
        <w:snapToGrid w:val="0"/>
        <w:spacing w:line="540" w:lineRule="exact"/>
        <w:ind w:left="0" w:firstLine="640" w:firstLineChars="200"/>
        <w:jc w:val="both"/>
        <w:textAlignment w:val="baseline"/>
        <w:outlineLvl w:val="0"/>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对于用户侧及电网企业代理购电实时市场分时偏差电量进行事后计算判断，超出允许偏差范围λ</w:t>
      </w:r>
      <w:r>
        <w:rPr>
          <w:rFonts w:hint="eastAsia" w:ascii="仿宋_GB2312" w:hAnsi="仿宋_GB2312" w:eastAsia="仿宋_GB2312" w:cs="仿宋_GB2312"/>
          <w:color w:val="auto"/>
          <w:spacing w:val="0"/>
          <w:sz w:val="32"/>
          <w:szCs w:val="32"/>
          <w:highlight w:val="none"/>
          <w:vertAlign w:val="subscript"/>
          <w:lang w:val="en-US" w:eastAsia="zh-CN"/>
        </w:rPr>
        <w:t>0</w:t>
      </w:r>
      <w:r>
        <w:rPr>
          <w:rFonts w:hint="eastAsia" w:ascii="仿宋_GB2312" w:hAnsi="仿宋_GB2312" w:eastAsia="仿宋_GB2312" w:cs="仿宋_GB2312"/>
          <w:color w:val="auto"/>
          <w:spacing w:val="0"/>
          <w:sz w:val="32"/>
          <w:szCs w:val="32"/>
          <w:highlight w:val="none"/>
          <w:lang w:val="en-US" w:eastAsia="zh-CN"/>
        </w:rPr>
        <w:t>的，回收允许偏差外的实时市场与日前市场分时价格的价差收益。偏差收益转移电费以月度为单位，售电公司、批发电力用户按实际用电量比例返还，电网代理购电按电网企业代购市场实际分时电量比例返还，计算公式如下：</w:t>
      </w:r>
    </w:p>
    <w:p>
      <w:pPr>
        <w:pStyle w:val="2"/>
        <w:keepNext w:val="0"/>
        <w:keepLines w:val="0"/>
        <w:pageBreakBefore w:val="0"/>
        <w:widowControl/>
        <w:kinsoku w:val="0"/>
        <w:wordWrap/>
        <w:overflowPunct/>
        <w:topLinePunct w:val="0"/>
        <w:autoSpaceDE w:val="0"/>
        <w:autoSpaceDN w:val="0"/>
        <w:bidi w:val="0"/>
        <w:adjustRightInd w:val="0"/>
        <w:snapToGrid w:val="0"/>
        <w:spacing w:line="540" w:lineRule="exact"/>
        <w:ind w:left="0" w:firstLine="640" w:firstLineChars="200"/>
        <w:jc w:val="both"/>
        <w:textAlignment w:val="baseline"/>
        <w:outlineLvl w:val="0"/>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当Q</w:t>
      </w:r>
      <w:r>
        <w:rPr>
          <w:rFonts w:hint="eastAsia" w:ascii="仿宋_GB2312" w:hAnsi="仿宋_GB2312" w:eastAsia="仿宋_GB2312" w:cs="仿宋_GB2312"/>
          <w:color w:val="auto"/>
          <w:spacing w:val="0"/>
          <w:sz w:val="32"/>
          <w:szCs w:val="32"/>
          <w:highlight w:val="none"/>
          <w:vertAlign w:val="subscript"/>
          <w:lang w:val="en-US" w:eastAsia="zh-CN"/>
        </w:rPr>
        <w:t>日前,t</w:t>
      </w:r>
      <w:r>
        <w:rPr>
          <w:rFonts w:hint="eastAsia" w:ascii="仿宋_GB2312" w:hAnsi="仿宋_GB2312" w:eastAsia="仿宋_GB2312" w:cs="仿宋_GB2312"/>
          <w:color w:val="auto"/>
          <w:spacing w:val="0"/>
          <w:sz w:val="32"/>
          <w:szCs w:val="32"/>
          <w:highlight w:val="none"/>
          <w:vertAlign w:val="baseline"/>
          <w:lang w:val="en-US" w:eastAsia="zh-CN"/>
        </w:rPr>
        <w:t>&gt;</w:t>
      </w:r>
      <w:r>
        <w:rPr>
          <w:rFonts w:hint="eastAsia" w:ascii="仿宋_GB2312" w:hAnsi="仿宋_GB2312" w:eastAsia="仿宋_GB2312" w:cs="仿宋_GB2312"/>
          <w:color w:val="auto"/>
          <w:spacing w:val="0"/>
          <w:sz w:val="32"/>
          <w:szCs w:val="32"/>
          <w:highlight w:val="none"/>
          <w:lang w:val="en-US" w:eastAsia="zh-CN"/>
        </w:rPr>
        <w:t>Q</w:t>
      </w:r>
      <w:r>
        <w:rPr>
          <w:rFonts w:hint="eastAsia" w:ascii="仿宋_GB2312" w:hAnsi="仿宋_GB2312" w:eastAsia="仿宋_GB2312" w:cs="仿宋_GB2312"/>
          <w:color w:val="auto"/>
          <w:spacing w:val="0"/>
          <w:sz w:val="32"/>
          <w:szCs w:val="32"/>
          <w:highlight w:val="none"/>
          <w:vertAlign w:val="subscript"/>
          <w:lang w:val="en-US" w:eastAsia="zh-CN"/>
        </w:rPr>
        <w:t>实时,t</w:t>
      </w:r>
      <w:r>
        <w:rPr>
          <w:rFonts w:hint="eastAsia" w:ascii="仿宋_GB2312" w:hAnsi="仿宋_GB2312" w:eastAsia="仿宋_GB2312" w:cs="仿宋_GB2312"/>
          <w:color w:val="auto"/>
          <w:spacing w:val="0"/>
          <w:sz w:val="32"/>
          <w:szCs w:val="32"/>
          <w:highlight w:val="none"/>
          <w:lang w:val="en-US" w:eastAsia="zh-CN"/>
        </w:rPr>
        <w:t>×（1+λ</w:t>
      </w:r>
      <w:r>
        <w:rPr>
          <w:rFonts w:hint="eastAsia" w:ascii="仿宋_GB2312" w:hAnsi="仿宋_GB2312" w:eastAsia="仿宋_GB2312" w:cs="仿宋_GB2312"/>
          <w:color w:val="auto"/>
          <w:spacing w:val="0"/>
          <w:sz w:val="32"/>
          <w:szCs w:val="32"/>
          <w:highlight w:val="none"/>
          <w:vertAlign w:val="subscript"/>
          <w:lang w:val="en-US" w:eastAsia="zh-CN"/>
        </w:rPr>
        <w:t>0</w:t>
      </w:r>
      <w:r>
        <w:rPr>
          <w:rFonts w:hint="eastAsia" w:ascii="仿宋_GB2312" w:hAnsi="仿宋_GB2312" w:eastAsia="仿宋_GB2312" w:cs="仿宋_GB2312"/>
          <w:color w:val="auto"/>
          <w:spacing w:val="0"/>
          <w:sz w:val="32"/>
          <w:szCs w:val="32"/>
          <w:highlight w:val="none"/>
          <w:lang w:val="en-US" w:eastAsia="zh-CN"/>
        </w:rPr>
        <w:t>），且P</w:t>
      </w:r>
      <w:r>
        <w:rPr>
          <w:rFonts w:hint="eastAsia" w:ascii="仿宋_GB2312" w:hAnsi="仿宋_GB2312" w:eastAsia="仿宋_GB2312" w:cs="仿宋_GB2312"/>
          <w:color w:val="auto"/>
          <w:spacing w:val="0"/>
          <w:sz w:val="32"/>
          <w:szCs w:val="32"/>
          <w:highlight w:val="none"/>
          <w:vertAlign w:val="subscript"/>
          <w:lang w:val="en-US" w:eastAsia="zh-CN"/>
        </w:rPr>
        <w:t>实时统一,t</w:t>
      </w:r>
      <w:r>
        <w:rPr>
          <w:rFonts w:hint="eastAsia" w:ascii="仿宋_GB2312" w:hAnsi="仿宋_GB2312" w:eastAsia="仿宋_GB2312" w:cs="仿宋_GB2312"/>
          <w:color w:val="auto"/>
          <w:spacing w:val="0"/>
          <w:sz w:val="32"/>
          <w:szCs w:val="32"/>
          <w:highlight w:val="none"/>
          <w:lang w:val="en-US" w:eastAsia="zh-CN"/>
        </w:rPr>
        <w:t>&gt;P</w:t>
      </w:r>
      <w:r>
        <w:rPr>
          <w:rFonts w:hint="eastAsia" w:ascii="仿宋_GB2312" w:hAnsi="仿宋_GB2312" w:eastAsia="仿宋_GB2312" w:cs="仿宋_GB2312"/>
          <w:color w:val="auto"/>
          <w:spacing w:val="0"/>
          <w:sz w:val="32"/>
          <w:szCs w:val="32"/>
          <w:highlight w:val="none"/>
          <w:vertAlign w:val="subscript"/>
          <w:lang w:val="en-US" w:eastAsia="zh-CN"/>
        </w:rPr>
        <w:t>日前统一,t</w:t>
      </w:r>
      <w:r>
        <w:rPr>
          <w:rFonts w:hint="eastAsia" w:ascii="仿宋_GB2312" w:hAnsi="仿宋_GB2312" w:eastAsia="仿宋_GB2312" w:cs="仿宋_GB2312"/>
          <w:color w:val="auto"/>
          <w:spacing w:val="0"/>
          <w:sz w:val="32"/>
          <w:szCs w:val="32"/>
          <w:highlight w:val="none"/>
          <w:lang w:val="en-US" w:eastAsia="zh-CN"/>
        </w:rPr>
        <w:t>时，</w:t>
      </w:r>
    </w:p>
    <w:p>
      <w:pPr>
        <w:pStyle w:val="2"/>
        <w:keepNext w:val="0"/>
        <w:keepLines w:val="0"/>
        <w:pageBreakBefore w:val="0"/>
        <w:widowControl/>
        <w:kinsoku w:val="0"/>
        <w:wordWrap/>
        <w:overflowPunct/>
        <w:topLinePunct w:val="0"/>
        <w:autoSpaceDE w:val="0"/>
        <w:autoSpaceDN w:val="0"/>
        <w:bidi w:val="0"/>
        <w:adjustRightInd w:val="0"/>
        <w:snapToGrid w:val="0"/>
        <w:spacing w:line="540" w:lineRule="exact"/>
        <w:ind w:left="0" w:firstLine="640" w:firstLineChars="200"/>
        <w:jc w:val="both"/>
        <w:textAlignment w:val="baseline"/>
        <w:outlineLvl w:val="0"/>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C=Σ[Q</w:t>
      </w:r>
      <w:r>
        <w:rPr>
          <w:rFonts w:hint="eastAsia" w:ascii="仿宋_GB2312" w:hAnsi="仿宋_GB2312" w:eastAsia="仿宋_GB2312" w:cs="仿宋_GB2312"/>
          <w:color w:val="auto"/>
          <w:spacing w:val="0"/>
          <w:sz w:val="32"/>
          <w:szCs w:val="32"/>
          <w:highlight w:val="none"/>
          <w:vertAlign w:val="subscript"/>
          <w:lang w:val="en-US" w:eastAsia="zh-CN"/>
        </w:rPr>
        <w:t>日前,t</w:t>
      </w:r>
      <w:r>
        <w:rPr>
          <w:rFonts w:hint="eastAsia" w:ascii="仿宋_GB2312" w:hAnsi="仿宋_GB2312" w:eastAsia="仿宋_GB2312" w:cs="仿宋_GB2312"/>
          <w:color w:val="auto"/>
          <w:spacing w:val="0"/>
          <w:sz w:val="32"/>
          <w:szCs w:val="32"/>
          <w:highlight w:val="none"/>
          <w:lang w:val="en-US" w:eastAsia="zh-CN"/>
        </w:rPr>
        <w:t>-Q</w:t>
      </w:r>
      <w:r>
        <w:rPr>
          <w:rFonts w:hint="eastAsia" w:ascii="仿宋_GB2312" w:hAnsi="仿宋_GB2312" w:eastAsia="仿宋_GB2312" w:cs="仿宋_GB2312"/>
          <w:color w:val="auto"/>
          <w:spacing w:val="0"/>
          <w:sz w:val="32"/>
          <w:szCs w:val="32"/>
          <w:highlight w:val="none"/>
          <w:vertAlign w:val="subscript"/>
          <w:lang w:val="en-US" w:eastAsia="zh-CN"/>
        </w:rPr>
        <w:t>实时,t</w:t>
      </w:r>
      <w:r>
        <w:rPr>
          <w:rFonts w:hint="eastAsia" w:ascii="仿宋_GB2312" w:hAnsi="仿宋_GB2312" w:eastAsia="仿宋_GB2312" w:cs="仿宋_GB2312"/>
          <w:color w:val="auto"/>
          <w:spacing w:val="0"/>
          <w:sz w:val="32"/>
          <w:szCs w:val="32"/>
          <w:highlight w:val="none"/>
          <w:lang w:val="en-US" w:eastAsia="zh-CN"/>
        </w:rPr>
        <w:t>×（1+λ</w:t>
      </w:r>
      <w:r>
        <w:rPr>
          <w:rFonts w:hint="eastAsia" w:ascii="仿宋_GB2312" w:hAnsi="仿宋_GB2312" w:eastAsia="仿宋_GB2312" w:cs="仿宋_GB2312"/>
          <w:color w:val="auto"/>
          <w:spacing w:val="0"/>
          <w:sz w:val="32"/>
          <w:szCs w:val="32"/>
          <w:highlight w:val="none"/>
          <w:vertAlign w:val="subscript"/>
          <w:lang w:val="en-US" w:eastAsia="zh-CN"/>
        </w:rPr>
        <w:t>0</w:t>
      </w:r>
      <w:r>
        <w:rPr>
          <w:rFonts w:hint="eastAsia" w:ascii="仿宋_GB2312" w:hAnsi="仿宋_GB2312" w:eastAsia="仿宋_GB2312" w:cs="仿宋_GB2312"/>
          <w:color w:val="auto"/>
          <w:spacing w:val="0"/>
          <w:sz w:val="32"/>
          <w:szCs w:val="32"/>
          <w:highlight w:val="none"/>
          <w:lang w:val="en-US" w:eastAsia="zh-CN"/>
        </w:rPr>
        <w:t>）]×(P</w:t>
      </w:r>
      <w:r>
        <w:rPr>
          <w:rFonts w:hint="eastAsia" w:ascii="仿宋_GB2312" w:hAnsi="仿宋_GB2312" w:eastAsia="仿宋_GB2312" w:cs="仿宋_GB2312"/>
          <w:color w:val="auto"/>
          <w:spacing w:val="0"/>
          <w:sz w:val="32"/>
          <w:szCs w:val="32"/>
          <w:highlight w:val="none"/>
          <w:vertAlign w:val="subscript"/>
          <w:lang w:val="en-US" w:eastAsia="zh-CN"/>
        </w:rPr>
        <w:t>实时统一,t</w:t>
      </w:r>
      <w:r>
        <w:rPr>
          <w:rFonts w:hint="eastAsia" w:ascii="仿宋_GB2312" w:hAnsi="仿宋_GB2312" w:eastAsia="仿宋_GB2312" w:cs="仿宋_GB2312"/>
          <w:color w:val="auto"/>
          <w:spacing w:val="0"/>
          <w:sz w:val="32"/>
          <w:szCs w:val="32"/>
          <w:highlight w:val="none"/>
          <w:lang w:val="en-US" w:eastAsia="zh-CN"/>
        </w:rPr>
        <w:t>-P</w:t>
      </w:r>
      <w:r>
        <w:rPr>
          <w:rFonts w:hint="eastAsia" w:ascii="仿宋_GB2312" w:hAnsi="仿宋_GB2312" w:eastAsia="仿宋_GB2312" w:cs="仿宋_GB2312"/>
          <w:color w:val="auto"/>
          <w:spacing w:val="0"/>
          <w:sz w:val="32"/>
          <w:szCs w:val="32"/>
          <w:highlight w:val="none"/>
          <w:vertAlign w:val="subscript"/>
          <w:lang w:val="en-US" w:eastAsia="zh-CN"/>
        </w:rPr>
        <w:t>日前统一,t</w:t>
      </w:r>
      <w:r>
        <w:rPr>
          <w:rFonts w:hint="eastAsia" w:ascii="仿宋_GB2312" w:hAnsi="仿宋_GB2312" w:eastAsia="仿宋_GB2312" w:cs="仿宋_GB2312"/>
          <w:color w:val="auto"/>
          <w:spacing w:val="0"/>
          <w:sz w:val="32"/>
          <w:szCs w:val="32"/>
          <w:highlight w:val="none"/>
          <w:lang w:val="en-US" w:eastAsia="zh-CN"/>
        </w:rPr>
        <w:t>)；</w:t>
      </w:r>
    </w:p>
    <w:p>
      <w:pPr>
        <w:pStyle w:val="2"/>
        <w:keepNext w:val="0"/>
        <w:keepLines w:val="0"/>
        <w:pageBreakBefore w:val="0"/>
        <w:widowControl/>
        <w:kinsoku w:val="0"/>
        <w:wordWrap/>
        <w:overflowPunct/>
        <w:topLinePunct w:val="0"/>
        <w:autoSpaceDE w:val="0"/>
        <w:autoSpaceDN w:val="0"/>
        <w:bidi w:val="0"/>
        <w:adjustRightInd w:val="0"/>
        <w:snapToGrid w:val="0"/>
        <w:spacing w:line="540" w:lineRule="exact"/>
        <w:ind w:left="0" w:firstLine="640" w:firstLineChars="200"/>
        <w:jc w:val="both"/>
        <w:textAlignment w:val="baseline"/>
        <w:outlineLvl w:val="0"/>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当Q</w:t>
      </w:r>
      <w:r>
        <w:rPr>
          <w:rFonts w:hint="eastAsia" w:ascii="仿宋_GB2312" w:hAnsi="仿宋_GB2312" w:eastAsia="仿宋_GB2312" w:cs="仿宋_GB2312"/>
          <w:color w:val="auto"/>
          <w:spacing w:val="0"/>
          <w:sz w:val="32"/>
          <w:szCs w:val="32"/>
          <w:highlight w:val="none"/>
          <w:vertAlign w:val="subscript"/>
          <w:lang w:val="en-US" w:eastAsia="zh-CN"/>
        </w:rPr>
        <w:t>日前,t</w:t>
      </w:r>
      <w:r>
        <w:rPr>
          <w:rFonts w:hint="eastAsia" w:ascii="仿宋_GB2312" w:hAnsi="仿宋_GB2312" w:eastAsia="仿宋_GB2312" w:cs="仿宋_GB2312"/>
          <w:color w:val="auto"/>
          <w:spacing w:val="0"/>
          <w:sz w:val="32"/>
          <w:szCs w:val="32"/>
          <w:highlight w:val="none"/>
          <w:lang w:val="en-US" w:eastAsia="zh-CN"/>
        </w:rPr>
        <w:t>&lt;Q</w:t>
      </w:r>
      <w:r>
        <w:rPr>
          <w:rFonts w:hint="eastAsia" w:ascii="仿宋_GB2312" w:hAnsi="仿宋_GB2312" w:eastAsia="仿宋_GB2312" w:cs="仿宋_GB2312"/>
          <w:color w:val="auto"/>
          <w:spacing w:val="0"/>
          <w:sz w:val="32"/>
          <w:szCs w:val="32"/>
          <w:highlight w:val="none"/>
          <w:vertAlign w:val="subscript"/>
          <w:lang w:val="en-US" w:eastAsia="zh-CN"/>
        </w:rPr>
        <w:t>实时,t</w:t>
      </w:r>
      <w:r>
        <w:rPr>
          <w:rFonts w:hint="eastAsia" w:ascii="仿宋_GB2312" w:hAnsi="仿宋_GB2312" w:eastAsia="仿宋_GB2312" w:cs="仿宋_GB2312"/>
          <w:color w:val="auto"/>
          <w:spacing w:val="0"/>
          <w:sz w:val="32"/>
          <w:szCs w:val="32"/>
          <w:highlight w:val="none"/>
          <w:lang w:val="en-US" w:eastAsia="zh-CN"/>
        </w:rPr>
        <w:t>×（1-λ</w:t>
      </w:r>
      <w:r>
        <w:rPr>
          <w:rFonts w:hint="eastAsia" w:ascii="仿宋_GB2312" w:hAnsi="仿宋_GB2312" w:eastAsia="仿宋_GB2312" w:cs="仿宋_GB2312"/>
          <w:color w:val="auto"/>
          <w:spacing w:val="0"/>
          <w:sz w:val="32"/>
          <w:szCs w:val="32"/>
          <w:highlight w:val="none"/>
          <w:vertAlign w:val="subscript"/>
          <w:lang w:val="en-US" w:eastAsia="zh-CN"/>
        </w:rPr>
        <w:t>0</w:t>
      </w:r>
      <w:r>
        <w:rPr>
          <w:rFonts w:hint="eastAsia" w:ascii="仿宋_GB2312" w:hAnsi="仿宋_GB2312" w:eastAsia="仿宋_GB2312" w:cs="仿宋_GB2312"/>
          <w:color w:val="auto"/>
          <w:spacing w:val="0"/>
          <w:sz w:val="32"/>
          <w:szCs w:val="32"/>
          <w:highlight w:val="none"/>
          <w:lang w:val="en-US" w:eastAsia="zh-CN"/>
        </w:rPr>
        <w:t>），且P</w:t>
      </w:r>
      <w:r>
        <w:rPr>
          <w:rFonts w:hint="eastAsia" w:ascii="仿宋_GB2312" w:hAnsi="仿宋_GB2312" w:eastAsia="仿宋_GB2312" w:cs="仿宋_GB2312"/>
          <w:color w:val="auto"/>
          <w:spacing w:val="0"/>
          <w:sz w:val="32"/>
          <w:szCs w:val="32"/>
          <w:highlight w:val="none"/>
          <w:vertAlign w:val="subscript"/>
          <w:lang w:val="en-US" w:eastAsia="zh-CN"/>
        </w:rPr>
        <w:t>实时统一,t</w:t>
      </w:r>
      <w:r>
        <w:rPr>
          <w:rFonts w:hint="eastAsia" w:ascii="仿宋_GB2312" w:hAnsi="仿宋_GB2312" w:eastAsia="仿宋_GB2312" w:cs="仿宋_GB2312"/>
          <w:color w:val="auto"/>
          <w:spacing w:val="0"/>
          <w:sz w:val="32"/>
          <w:szCs w:val="32"/>
          <w:highlight w:val="none"/>
          <w:lang w:val="en-US" w:eastAsia="zh-CN"/>
        </w:rPr>
        <w:t>&lt;P</w:t>
      </w:r>
      <w:r>
        <w:rPr>
          <w:rFonts w:hint="eastAsia" w:ascii="仿宋_GB2312" w:hAnsi="仿宋_GB2312" w:eastAsia="仿宋_GB2312" w:cs="仿宋_GB2312"/>
          <w:color w:val="auto"/>
          <w:spacing w:val="0"/>
          <w:sz w:val="32"/>
          <w:szCs w:val="32"/>
          <w:highlight w:val="none"/>
          <w:vertAlign w:val="subscript"/>
          <w:lang w:val="en-US" w:eastAsia="zh-CN"/>
        </w:rPr>
        <w:t>日前统一,t</w:t>
      </w:r>
      <w:r>
        <w:rPr>
          <w:rFonts w:hint="eastAsia" w:ascii="仿宋_GB2312" w:hAnsi="仿宋_GB2312" w:eastAsia="仿宋_GB2312" w:cs="仿宋_GB2312"/>
          <w:color w:val="auto"/>
          <w:spacing w:val="0"/>
          <w:sz w:val="32"/>
          <w:szCs w:val="32"/>
          <w:highlight w:val="none"/>
          <w:lang w:val="en-US" w:eastAsia="zh-CN"/>
        </w:rPr>
        <w:t>时，</w:t>
      </w:r>
    </w:p>
    <w:p>
      <w:pPr>
        <w:pStyle w:val="2"/>
        <w:keepNext w:val="0"/>
        <w:keepLines w:val="0"/>
        <w:pageBreakBefore w:val="0"/>
        <w:widowControl/>
        <w:kinsoku w:val="0"/>
        <w:wordWrap/>
        <w:overflowPunct/>
        <w:topLinePunct w:val="0"/>
        <w:autoSpaceDE w:val="0"/>
        <w:autoSpaceDN w:val="0"/>
        <w:bidi w:val="0"/>
        <w:adjustRightInd w:val="0"/>
        <w:snapToGrid w:val="0"/>
        <w:spacing w:line="540" w:lineRule="exact"/>
        <w:ind w:left="0" w:firstLine="640" w:firstLineChars="200"/>
        <w:jc w:val="both"/>
        <w:textAlignment w:val="baseline"/>
        <w:outlineLvl w:val="0"/>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C=Σ[Q</w:t>
      </w:r>
      <w:r>
        <w:rPr>
          <w:rFonts w:hint="eastAsia" w:ascii="仿宋_GB2312" w:hAnsi="仿宋_GB2312" w:eastAsia="仿宋_GB2312" w:cs="仿宋_GB2312"/>
          <w:color w:val="auto"/>
          <w:spacing w:val="0"/>
          <w:sz w:val="32"/>
          <w:szCs w:val="32"/>
          <w:highlight w:val="none"/>
          <w:vertAlign w:val="subscript"/>
          <w:lang w:val="en-US" w:eastAsia="zh-CN"/>
        </w:rPr>
        <w:t>实时,t</w:t>
      </w:r>
      <w:r>
        <w:rPr>
          <w:rFonts w:hint="eastAsia" w:ascii="仿宋_GB2312" w:hAnsi="仿宋_GB2312" w:eastAsia="仿宋_GB2312" w:cs="仿宋_GB2312"/>
          <w:color w:val="auto"/>
          <w:spacing w:val="0"/>
          <w:sz w:val="32"/>
          <w:szCs w:val="32"/>
          <w:highlight w:val="none"/>
          <w:lang w:val="en-US" w:eastAsia="zh-CN"/>
        </w:rPr>
        <w:t>×（1-λ</w:t>
      </w:r>
      <w:r>
        <w:rPr>
          <w:rFonts w:hint="eastAsia" w:ascii="仿宋_GB2312" w:hAnsi="仿宋_GB2312" w:eastAsia="仿宋_GB2312" w:cs="仿宋_GB2312"/>
          <w:color w:val="auto"/>
          <w:spacing w:val="0"/>
          <w:sz w:val="32"/>
          <w:szCs w:val="32"/>
          <w:highlight w:val="none"/>
          <w:vertAlign w:val="subscript"/>
          <w:lang w:val="en-US" w:eastAsia="zh-CN"/>
        </w:rPr>
        <w:t>0</w:t>
      </w:r>
      <w:r>
        <w:rPr>
          <w:rFonts w:hint="eastAsia" w:ascii="仿宋_GB2312" w:hAnsi="仿宋_GB2312" w:eastAsia="仿宋_GB2312" w:cs="仿宋_GB2312"/>
          <w:color w:val="auto"/>
          <w:spacing w:val="0"/>
          <w:sz w:val="32"/>
          <w:szCs w:val="32"/>
          <w:highlight w:val="none"/>
          <w:lang w:val="en-US" w:eastAsia="zh-CN"/>
        </w:rPr>
        <w:t>）-Q</w:t>
      </w:r>
      <w:r>
        <w:rPr>
          <w:rFonts w:hint="eastAsia" w:ascii="仿宋_GB2312" w:hAnsi="仿宋_GB2312" w:eastAsia="仿宋_GB2312" w:cs="仿宋_GB2312"/>
          <w:color w:val="auto"/>
          <w:spacing w:val="0"/>
          <w:sz w:val="32"/>
          <w:szCs w:val="32"/>
          <w:highlight w:val="none"/>
          <w:vertAlign w:val="subscript"/>
          <w:lang w:val="en-US" w:eastAsia="zh-CN"/>
        </w:rPr>
        <w:t>日前,t</w:t>
      </w:r>
      <w:r>
        <w:rPr>
          <w:rFonts w:hint="eastAsia" w:ascii="仿宋_GB2312" w:hAnsi="仿宋_GB2312" w:eastAsia="仿宋_GB2312" w:cs="仿宋_GB2312"/>
          <w:color w:val="auto"/>
          <w:spacing w:val="0"/>
          <w:sz w:val="32"/>
          <w:szCs w:val="32"/>
          <w:highlight w:val="none"/>
          <w:lang w:val="en-US" w:eastAsia="zh-CN"/>
        </w:rPr>
        <w:t>]×(P</w:t>
      </w:r>
      <w:r>
        <w:rPr>
          <w:rFonts w:hint="eastAsia" w:ascii="仿宋_GB2312" w:hAnsi="仿宋_GB2312" w:eastAsia="仿宋_GB2312" w:cs="仿宋_GB2312"/>
          <w:color w:val="auto"/>
          <w:spacing w:val="0"/>
          <w:sz w:val="32"/>
          <w:szCs w:val="32"/>
          <w:highlight w:val="none"/>
          <w:vertAlign w:val="subscript"/>
          <w:lang w:val="en-US" w:eastAsia="zh-CN"/>
        </w:rPr>
        <w:t>日前统一,t</w:t>
      </w:r>
      <w:r>
        <w:rPr>
          <w:rFonts w:hint="eastAsia" w:ascii="仿宋_GB2312" w:hAnsi="仿宋_GB2312" w:eastAsia="仿宋_GB2312" w:cs="仿宋_GB2312"/>
          <w:color w:val="auto"/>
          <w:spacing w:val="0"/>
          <w:sz w:val="32"/>
          <w:szCs w:val="32"/>
          <w:highlight w:val="none"/>
          <w:lang w:val="en-US" w:eastAsia="zh-CN"/>
        </w:rPr>
        <w:t>-P</w:t>
      </w:r>
      <w:r>
        <w:rPr>
          <w:rFonts w:hint="eastAsia" w:ascii="仿宋_GB2312" w:hAnsi="仿宋_GB2312" w:eastAsia="仿宋_GB2312" w:cs="仿宋_GB2312"/>
          <w:color w:val="auto"/>
          <w:spacing w:val="0"/>
          <w:sz w:val="32"/>
          <w:szCs w:val="32"/>
          <w:highlight w:val="none"/>
          <w:vertAlign w:val="subscript"/>
          <w:lang w:val="en-US" w:eastAsia="zh-CN"/>
        </w:rPr>
        <w:t>实时统一,t</w:t>
      </w:r>
      <w:r>
        <w:rPr>
          <w:rFonts w:hint="eastAsia" w:ascii="仿宋_GB2312" w:hAnsi="仿宋_GB2312" w:eastAsia="仿宋_GB2312" w:cs="仿宋_GB2312"/>
          <w:color w:val="auto"/>
          <w:spacing w:val="0"/>
          <w:sz w:val="32"/>
          <w:szCs w:val="32"/>
          <w:highlight w:val="none"/>
          <w:lang w:val="en-US" w:eastAsia="zh-CN"/>
        </w:rPr>
        <w:t>)。</w:t>
      </w:r>
    </w:p>
    <w:p>
      <w:pPr>
        <w:pStyle w:val="2"/>
        <w:keepNext w:val="0"/>
        <w:keepLines w:val="0"/>
        <w:pageBreakBefore w:val="0"/>
        <w:widowControl/>
        <w:kinsoku w:val="0"/>
        <w:wordWrap/>
        <w:overflowPunct/>
        <w:topLinePunct w:val="0"/>
        <w:autoSpaceDE w:val="0"/>
        <w:autoSpaceDN w:val="0"/>
        <w:bidi w:val="0"/>
        <w:adjustRightInd w:val="0"/>
        <w:snapToGrid w:val="0"/>
        <w:spacing w:line="540" w:lineRule="exact"/>
        <w:ind w:left="0" w:firstLine="640" w:firstLineChars="200"/>
        <w:jc w:val="both"/>
        <w:textAlignment w:val="baseline"/>
        <w:outlineLvl w:val="0"/>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其中：</w:t>
      </w:r>
    </w:p>
    <w:p>
      <w:pPr>
        <w:pStyle w:val="2"/>
        <w:keepNext w:val="0"/>
        <w:keepLines w:val="0"/>
        <w:pageBreakBefore w:val="0"/>
        <w:widowControl/>
        <w:kinsoku w:val="0"/>
        <w:wordWrap/>
        <w:overflowPunct/>
        <w:topLinePunct w:val="0"/>
        <w:autoSpaceDE w:val="0"/>
        <w:autoSpaceDN w:val="0"/>
        <w:bidi w:val="0"/>
        <w:adjustRightInd w:val="0"/>
        <w:snapToGrid w:val="0"/>
        <w:spacing w:line="540" w:lineRule="exact"/>
        <w:ind w:left="0" w:firstLine="640" w:firstLineChars="200"/>
        <w:jc w:val="both"/>
        <w:textAlignment w:val="baseline"/>
        <w:outlineLvl w:val="0"/>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C为需转移的售电公司、批发电力用户及电网代理购电偏差收益；</w:t>
      </w:r>
    </w:p>
    <w:p>
      <w:pPr>
        <w:pStyle w:val="2"/>
        <w:keepNext w:val="0"/>
        <w:keepLines w:val="0"/>
        <w:pageBreakBefore w:val="0"/>
        <w:widowControl/>
        <w:kinsoku w:val="0"/>
        <w:wordWrap/>
        <w:overflowPunct/>
        <w:topLinePunct w:val="0"/>
        <w:autoSpaceDE w:val="0"/>
        <w:autoSpaceDN w:val="0"/>
        <w:bidi w:val="0"/>
        <w:adjustRightInd w:val="0"/>
        <w:snapToGrid w:val="0"/>
        <w:spacing w:line="540" w:lineRule="exact"/>
        <w:ind w:left="0" w:firstLine="640" w:firstLineChars="200"/>
        <w:jc w:val="both"/>
        <w:textAlignment w:val="baseline"/>
        <w:outlineLvl w:val="0"/>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Q</w:t>
      </w:r>
      <w:r>
        <w:rPr>
          <w:rFonts w:hint="eastAsia" w:ascii="仿宋_GB2312" w:hAnsi="仿宋_GB2312" w:eastAsia="仿宋_GB2312" w:cs="仿宋_GB2312"/>
          <w:color w:val="auto"/>
          <w:spacing w:val="0"/>
          <w:sz w:val="32"/>
          <w:szCs w:val="32"/>
          <w:highlight w:val="none"/>
          <w:vertAlign w:val="subscript"/>
          <w:lang w:val="en-US" w:eastAsia="zh-CN"/>
        </w:rPr>
        <w:t>实时,t</w:t>
      </w:r>
      <w:r>
        <w:rPr>
          <w:rFonts w:hint="eastAsia" w:ascii="仿宋_GB2312" w:hAnsi="仿宋_GB2312" w:eastAsia="仿宋_GB2312" w:cs="仿宋_GB2312"/>
          <w:color w:val="auto"/>
          <w:spacing w:val="0"/>
          <w:sz w:val="32"/>
          <w:szCs w:val="32"/>
          <w:highlight w:val="none"/>
          <w:lang w:val="en-US" w:eastAsia="zh-CN"/>
        </w:rPr>
        <w:t>为用户实时市场T时段实际用电量；</w:t>
      </w:r>
    </w:p>
    <w:p>
      <w:pPr>
        <w:keepNext w:val="0"/>
        <w:keepLines w:val="0"/>
        <w:pageBreakBefore w:val="0"/>
        <w:widowControl/>
        <w:suppressLineNumbers w:val="0"/>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eastAsia" w:ascii="仿宋_GB2312" w:hAnsi="仿宋_GB2312" w:eastAsia="仿宋_GB2312" w:cs="仿宋_GB2312"/>
          <w:snapToGrid w:val="0"/>
          <w:color w:val="auto"/>
          <w:spacing w:val="0"/>
          <w:kern w:val="0"/>
          <w:sz w:val="32"/>
          <w:szCs w:val="32"/>
          <w:highlight w:val="none"/>
          <w:lang w:val="en-US" w:eastAsia="zh-CN" w:bidi="ar-SA"/>
        </w:rPr>
      </w:pPr>
      <w:r>
        <w:rPr>
          <w:rFonts w:hint="eastAsia" w:ascii="仿宋_GB2312" w:hAnsi="仿宋_GB2312" w:eastAsia="仿宋_GB2312" w:cs="仿宋_GB2312"/>
          <w:snapToGrid w:val="0"/>
          <w:color w:val="auto"/>
          <w:spacing w:val="0"/>
          <w:kern w:val="0"/>
          <w:sz w:val="32"/>
          <w:szCs w:val="32"/>
          <w:highlight w:val="none"/>
          <w:lang w:val="en-US" w:eastAsia="zh-CN" w:bidi="ar-SA"/>
        </w:rPr>
        <w:t>Q</w:t>
      </w:r>
      <w:r>
        <w:rPr>
          <w:rFonts w:hint="eastAsia" w:ascii="仿宋_GB2312" w:hAnsi="仿宋_GB2312" w:eastAsia="仿宋_GB2312" w:cs="仿宋_GB2312"/>
          <w:snapToGrid w:val="0"/>
          <w:color w:val="auto"/>
          <w:spacing w:val="0"/>
          <w:kern w:val="0"/>
          <w:sz w:val="32"/>
          <w:szCs w:val="32"/>
          <w:highlight w:val="none"/>
          <w:vertAlign w:val="subscript"/>
          <w:lang w:val="en-US" w:eastAsia="zh-CN" w:bidi="ar-SA"/>
        </w:rPr>
        <w:t>日前,t</w:t>
      </w:r>
      <w:r>
        <w:rPr>
          <w:rFonts w:hint="eastAsia" w:ascii="仿宋_GB2312" w:hAnsi="仿宋_GB2312" w:eastAsia="仿宋_GB2312" w:cs="仿宋_GB2312"/>
          <w:snapToGrid w:val="0"/>
          <w:color w:val="auto"/>
          <w:spacing w:val="0"/>
          <w:kern w:val="0"/>
          <w:sz w:val="32"/>
          <w:szCs w:val="32"/>
          <w:highlight w:val="none"/>
          <w:lang w:val="en-US" w:eastAsia="zh-CN" w:bidi="ar-SA"/>
        </w:rPr>
        <w:t>为用户日前市场所申报的T时段需求电量,已扣减该时段需求侧响应中标容量折算的电量；</w:t>
      </w:r>
    </w:p>
    <w:p>
      <w:pPr>
        <w:pStyle w:val="2"/>
        <w:keepNext w:val="0"/>
        <w:keepLines w:val="0"/>
        <w:pageBreakBefore w:val="0"/>
        <w:widowControl/>
        <w:kinsoku w:val="0"/>
        <w:wordWrap/>
        <w:overflowPunct/>
        <w:topLinePunct w:val="0"/>
        <w:autoSpaceDE w:val="0"/>
        <w:autoSpaceDN w:val="0"/>
        <w:bidi w:val="0"/>
        <w:adjustRightInd w:val="0"/>
        <w:snapToGrid w:val="0"/>
        <w:spacing w:line="540" w:lineRule="exact"/>
        <w:ind w:left="0" w:firstLine="640" w:firstLineChars="200"/>
        <w:jc w:val="both"/>
        <w:textAlignment w:val="baseline"/>
        <w:outlineLvl w:val="0"/>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P</w:t>
      </w:r>
      <w:r>
        <w:rPr>
          <w:rFonts w:hint="eastAsia" w:ascii="仿宋_GB2312" w:hAnsi="仿宋_GB2312" w:eastAsia="仿宋_GB2312" w:cs="仿宋_GB2312"/>
          <w:color w:val="auto"/>
          <w:spacing w:val="0"/>
          <w:sz w:val="32"/>
          <w:szCs w:val="32"/>
          <w:highlight w:val="none"/>
          <w:vertAlign w:val="subscript"/>
          <w:lang w:val="en-US" w:eastAsia="zh-CN"/>
        </w:rPr>
        <w:t>实时统一,t</w:t>
      </w:r>
      <w:r>
        <w:rPr>
          <w:rFonts w:hint="eastAsia" w:ascii="仿宋_GB2312" w:hAnsi="仿宋_GB2312" w:eastAsia="仿宋_GB2312" w:cs="仿宋_GB2312"/>
          <w:color w:val="auto"/>
          <w:spacing w:val="0"/>
          <w:sz w:val="32"/>
          <w:szCs w:val="32"/>
          <w:highlight w:val="none"/>
          <w:lang w:val="en-US" w:eastAsia="zh-CN"/>
        </w:rPr>
        <w:t>为实时市场T时段统一结算点电价；</w:t>
      </w:r>
    </w:p>
    <w:p>
      <w:pPr>
        <w:pStyle w:val="2"/>
        <w:keepNext w:val="0"/>
        <w:keepLines w:val="0"/>
        <w:pageBreakBefore w:val="0"/>
        <w:widowControl/>
        <w:kinsoku w:val="0"/>
        <w:wordWrap/>
        <w:overflowPunct/>
        <w:topLinePunct w:val="0"/>
        <w:autoSpaceDE w:val="0"/>
        <w:autoSpaceDN w:val="0"/>
        <w:bidi w:val="0"/>
        <w:adjustRightInd w:val="0"/>
        <w:snapToGrid w:val="0"/>
        <w:spacing w:line="540" w:lineRule="exact"/>
        <w:ind w:left="0" w:firstLine="640" w:firstLineChars="200"/>
        <w:jc w:val="both"/>
        <w:textAlignment w:val="baseline"/>
        <w:outlineLvl w:val="0"/>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P</w:t>
      </w:r>
      <w:r>
        <w:rPr>
          <w:rFonts w:hint="eastAsia" w:ascii="仿宋_GB2312" w:hAnsi="仿宋_GB2312" w:eastAsia="仿宋_GB2312" w:cs="仿宋_GB2312"/>
          <w:color w:val="auto"/>
          <w:spacing w:val="0"/>
          <w:sz w:val="32"/>
          <w:szCs w:val="32"/>
          <w:highlight w:val="none"/>
          <w:vertAlign w:val="subscript"/>
          <w:lang w:val="en-US" w:eastAsia="zh-CN"/>
        </w:rPr>
        <w:t>日前统一,t</w:t>
      </w:r>
      <w:r>
        <w:rPr>
          <w:rFonts w:hint="eastAsia" w:ascii="仿宋_GB2312" w:hAnsi="仿宋_GB2312" w:eastAsia="仿宋_GB2312" w:cs="仿宋_GB2312"/>
          <w:color w:val="auto"/>
          <w:spacing w:val="0"/>
          <w:sz w:val="32"/>
          <w:szCs w:val="32"/>
          <w:highlight w:val="none"/>
          <w:lang w:val="en-US" w:eastAsia="zh-CN"/>
        </w:rPr>
        <w:t>为日前市场T时段统一结算点电价；</w:t>
      </w:r>
    </w:p>
    <w:p>
      <w:pPr>
        <w:keepNext w:val="0"/>
        <w:keepLines w:val="0"/>
        <w:pageBreakBefore w:val="0"/>
        <w:kinsoku/>
        <w:wordWrap/>
        <w:topLinePunct w:val="0"/>
        <w:bidi w:val="0"/>
        <w:snapToGrid/>
        <w:spacing w:line="58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color w:val="auto"/>
          <w:spacing w:val="0"/>
          <w:sz w:val="32"/>
          <w:szCs w:val="32"/>
          <w:highlight w:val="none"/>
          <w:lang w:val="en-US" w:eastAsia="zh-CN"/>
        </w:rPr>
        <w:t>λ</w:t>
      </w:r>
      <w:r>
        <w:rPr>
          <w:rFonts w:hint="eastAsia" w:ascii="仿宋_GB2312" w:hAnsi="仿宋_GB2312" w:eastAsia="仿宋_GB2312" w:cs="仿宋_GB2312"/>
          <w:color w:val="auto"/>
          <w:spacing w:val="0"/>
          <w:sz w:val="32"/>
          <w:szCs w:val="32"/>
          <w:highlight w:val="none"/>
          <w:vertAlign w:val="subscript"/>
          <w:lang w:val="en-US" w:eastAsia="zh-CN"/>
        </w:rPr>
        <w:t>0</w:t>
      </w:r>
      <w:r>
        <w:rPr>
          <w:rFonts w:hint="eastAsia" w:ascii="仿宋_GB2312" w:hAnsi="仿宋_GB2312" w:eastAsia="仿宋_GB2312" w:cs="仿宋_GB2312"/>
          <w:bCs/>
          <w:color w:val="auto"/>
          <w:sz w:val="32"/>
          <w:szCs w:val="32"/>
          <w:highlight w:val="none"/>
        </w:rPr>
        <w:t>为允许的偏差比例</w:t>
      </w:r>
      <w:r>
        <w:rPr>
          <w:rFonts w:hint="eastAsia" w:ascii="仿宋_GB2312" w:hAnsi="仿宋_GB2312" w:eastAsia="仿宋_GB2312" w:cs="仿宋_GB2312"/>
          <w:bCs/>
          <w:color w:val="auto"/>
          <w:sz w:val="32"/>
          <w:szCs w:val="32"/>
          <w:highlight w:val="none"/>
          <w:lang w:eastAsia="zh-CN"/>
        </w:rPr>
        <w:t>，根据现货电力市场结算试运行方案确定</w:t>
      </w:r>
      <w:r>
        <w:rPr>
          <w:rFonts w:hint="eastAsia" w:ascii="仿宋_GB2312" w:hAnsi="仿宋_GB2312" w:eastAsia="仿宋_GB2312" w:cs="仿宋_GB2312"/>
          <w:bCs/>
          <w:color w:val="auto"/>
          <w:sz w:val="32"/>
          <w:szCs w:val="32"/>
          <w:highlight w:val="none"/>
        </w:rPr>
        <w:t>。</w:t>
      </w:r>
    </w:p>
    <w:p>
      <w:pPr>
        <w:pStyle w:val="66"/>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3" w:firstLineChars="200"/>
        <w:outlineLvl w:val="1"/>
        <w:rPr>
          <w:rFonts w:hint="default" w:ascii="仿宋_GB2312" w:hAnsi="仿宋_GB2312" w:eastAsia="仿宋_GB2312" w:cs="仿宋_GB2312"/>
          <w:bCs/>
          <w:color w:val="auto"/>
          <w:sz w:val="32"/>
          <w:szCs w:val="32"/>
          <w:highlight w:val="none"/>
          <w:lang w:val="en-US" w:eastAsia="zh-CN"/>
        </w:rPr>
      </w:pPr>
      <w:bookmarkStart w:id="160" w:name="_Toc497940086"/>
      <w:bookmarkStart w:id="161" w:name="_Toc504638447"/>
      <w:r>
        <w:rPr>
          <w:rFonts w:hint="eastAsia" w:ascii="仿宋_GB2312" w:hAnsi="仿宋_GB2312" w:eastAsia="仿宋_GB2312" w:cs="仿宋_GB2312"/>
          <w:b/>
          <w:bCs/>
          <w:color w:val="auto"/>
          <w:sz w:val="32"/>
          <w:szCs w:val="32"/>
          <w:highlight w:val="none"/>
          <w:lang w:val="en-US" w:eastAsia="zh-CN"/>
        </w:rPr>
        <w:t>7.3</w:t>
      </w:r>
      <w:r>
        <w:rPr>
          <w:rFonts w:hint="eastAsia" w:ascii="仿宋_GB2312" w:hAnsi="仿宋_GB2312" w:eastAsia="仿宋_GB2312" w:cs="仿宋_GB2312"/>
          <w:b/>
          <w:bCs/>
          <w:color w:val="auto"/>
          <w:sz w:val="32"/>
          <w:szCs w:val="32"/>
          <w:highlight w:val="none"/>
        </w:rPr>
        <w:t>市场</w:t>
      </w:r>
      <w:bookmarkEnd w:id="160"/>
      <w:bookmarkEnd w:id="161"/>
      <w:r>
        <w:rPr>
          <w:rFonts w:hint="eastAsia" w:ascii="仿宋_GB2312" w:hAnsi="仿宋_GB2312" w:eastAsia="仿宋_GB2312" w:cs="仿宋_GB2312"/>
          <w:b/>
          <w:bCs/>
          <w:color w:val="auto"/>
          <w:sz w:val="32"/>
          <w:szCs w:val="32"/>
          <w:highlight w:val="none"/>
          <w:lang w:eastAsia="zh-CN"/>
        </w:rPr>
        <w:t>平衡类返还电费</w:t>
      </w:r>
    </w:p>
    <w:p>
      <w:pPr>
        <w:pStyle w:val="67"/>
        <w:keepNext w:val="0"/>
        <w:keepLines w:val="0"/>
        <w:pageBreakBefore w:val="0"/>
        <w:widowControl w:val="0"/>
        <w:numPr>
          <w:ilvl w:val="2"/>
          <w:numId w:val="0"/>
        </w:numPr>
        <w:kinsoku/>
        <w:wordWrap/>
        <w:overflowPunct/>
        <w:topLinePunct w:val="0"/>
        <w:autoSpaceDE/>
        <w:autoSpaceDN/>
        <w:bidi w:val="0"/>
        <w:adjustRightInd/>
        <w:snapToGrid/>
        <w:spacing w:line="560" w:lineRule="exact"/>
        <w:ind w:firstLine="640" w:firstLineChars="200"/>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7.3.1</w:t>
      </w:r>
      <w:r>
        <w:rPr>
          <w:rFonts w:hint="eastAsia" w:ascii="仿宋_GB2312" w:hAnsi="仿宋_GB2312" w:eastAsia="仿宋_GB2312" w:cs="仿宋_GB2312"/>
          <w:color w:val="auto"/>
          <w:sz w:val="32"/>
          <w:szCs w:val="32"/>
          <w:highlight w:val="none"/>
        </w:rPr>
        <w:t>市场盈余</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市场盈余等于用户侧按统一结算点电价支付</w:t>
      </w:r>
      <w:r>
        <w:rPr>
          <w:rFonts w:hint="eastAsia" w:ascii="仿宋_GB2312" w:hAnsi="仿宋_GB2312" w:eastAsia="仿宋_GB2312" w:cs="仿宋_GB2312"/>
          <w:color w:val="auto"/>
          <w:sz w:val="32"/>
          <w:szCs w:val="32"/>
          <w:highlight w:val="none"/>
          <w:lang w:eastAsia="zh-CN"/>
        </w:rPr>
        <w:t>电能量</w:t>
      </w:r>
      <w:r>
        <w:rPr>
          <w:rFonts w:hint="eastAsia" w:ascii="仿宋_GB2312" w:hAnsi="仿宋_GB2312" w:eastAsia="仿宋_GB2312" w:cs="仿宋_GB2312"/>
          <w:color w:val="auto"/>
          <w:sz w:val="32"/>
          <w:szCs w:val="32"/>
          <w:highlight w:val="none"/>
        </w:rPr>
        <w:t>电费、电网企业代购市场电</w:t>
      </w:r>
      <w:r>
        <w:rPr>
          <w:rFonts w:hint="eastAsia" w:ascii="仿宋_GB2312" w:hAnsi="仿宋_GB2312" w:eastAsia="仿宋_GB2312" w:cs="仿宋_GB2312"/>
          <w:color w:val="auto"/>
          <w:sz w:val="32"/>
          <w:szCs w:val="32"/>
          <w:highlight w:val="none"/>
          <w:lang w:eastAsia="zh-CN"/>
        </w:rPr>
        <w:t>能</w:t>
      </w:r>
      <w:r>
        <w:rPr>
          <w:rFonts w:hint="eastAsia" w:ascii="仿宋_GB2312" w:hAnsi="仿宋_GB2312" w:eastAsia="仿宋_GB2312" w:cs="仿宋_GB2312"/>
          <w:color w:val="auto"/>
          <w:sz w:val="32"/>
          <w:szCs w:val="32"/>
          <w:highlight w:val="none"/>
        </w:rPr>
        <w:t>量电费、</w:t>
      </w:r>
      <w:r>
        <w:rPr>
          <w:rFonts w:hint="eastAsia" w:ascii="仿宋_GB2312" w:hAnsi="仿宋_GB2312" w:eastAsia="仿宋_GB2312" w:cs="仿宋_GB2312"/>
          <w:color w:val="auto"/>
          <w:sz w:val="32"/>
          <w:szCs w:val="32"/>
          <w:highlight w:val="none"/>
          <w:lang w:eastAsia="zh-CN"/>
        </w:rPr>
        <w:t>省间</w:t>
      </w:r>
      <w:r>
        <w:rPr>
          <w:rFonts w:hint="eastAsia" w:ascii="仿宋_GB2312" w:hAnsi="仿宋_GB2312" w:eastAsia="仿宋_GB2312" w:cs="仿宋_GB2312"/>
          <w:color w:val="auto"/>
          <w:sz w:val="32"/>
          <w:szCs w:val="32"/>
          <w:highlight w:val="none"/>
        </w:rPr>
        <w:t>市场送出侧结算的电能量电费之和与市场机组对应市场化交易电量所收取</w:t>
      </w:r>
      <w:r>
        <w:rPr>
          <w:rFonts w:hint="eastAsia" w:ascii="仿宋_GB2312" w:hAnsi="仿宋_GB2312" w:eastAsia="仿宋_GB2312" w:cs="仿宋_GB2312"/>
          <w:color w:val="auto"/>
          <w:sz w:val="32"/>
          <w:szCs w:val="32"/>
          <w:highlight w:val="none"/>
          <w:lang w:eastAsia="zh-CN"/>
        </w:rPr>
        <w:t>的电</w:t>
      </w:r>
      <w:r>
        <w:rPr>
          <w:rFonts w:hint="eastAsia" w:ascii="仿宋_GB2312" w:hAnsi="仿宋_GB2312" w:eastAsia="仿宋_GB2312" w:cs="仿宋_GB2312"/>
          <w:color w:val="auto"/>
          <w:sz w:val="32"/>
          <w:szCs w:val="32"/>
          <w:highlight w:val="none"/>
        </w:rPr>
        <w:t>能量电费</w:t>
      </w:r>
      <w:r>
        <w:rPr>
          <w:rFonts w:hint="eastAsia" w:ascii="仿宋_GB2312" w:hAnsi="仿宋_GB2312" w:eastAsia="仿宋_GB2312" w:cs="仿宋_GB2312"/>
          <w:color w:val="auto"/>
          <w:sz w:val="32"/>
          <w:szCs w:val="32"/>
          <w:highlight w:val="none"/>
          <w:lang w:eastAsia="zh-CN"/>
        </w:rPr>
        <w:t>、省间</w:t>
      </w:r>
      <w:r>
        <w:rPr>
          <w:rFonts w:hint="eastAsia" w:ascii="仿宋_GB2312" w:hAnsi="仿宋_GB2312" w:eastAsia="仿宋_GB2312" w:cs="仿宋_GB2312"/>
          <w:color w:val="auto"/>
          <w:sz w:val="32"/>
          <w:szCs w:val="32"/>
          <w:highlight w:val="none"/>
        </w:rPr>
        <w:t>市场</w:t>
      </w:r>
      <w:r>
        <w:rPr>
          <w:rFonts w:hint="eastAsia" w:ascii="仿宋_GB2312" w:hAnsi="仿宋_GB2312" w:eastAsia="仿宋_GB2312" w:cs="仿宋_GB2312"/>
          <w:color w:val="auto"/>
          <w:sz w:val="32"/>
          <w:szCs w:val="32"/>
          <w:highlight w:val="none"/>
          <w:lang w:eastAsia="zh-CN"/>
        </w:rPr>
        <w:t>落地</w:t>
      </w:r>
      <w:r>
        <w:rPr>
          <w:rFonts w:hint="eastAsia" w:ascii="仿宋_GB2312" w:hAnsi="仿宋_GB2312" w:eastAsia="仿宋_GB2312" w:cs="仿宋_GB2312"/>
          <w:color w:val="auto"/>
          <w:sz w:val="32"/>
          <w:szCs w:val="32"/>
          <w:highlight w:val="none"/>
        </w:rPr>
        <w:t>侧结算的电能量电费之和之间的差额，具体包括市场发用电量不平衡偏差电费、市场部分阻塞盈余两部分。</w:t>
      </w:r>
    </w:p>
    <w:p>
      <w:pPr>
        <w:pStyle w:val="67"/>
        <w:keepNext w:val="0"/>
        <w:keepLines w:val="0"/>
        <w:pageBreakBefore w:val="0"/>
        <w:widowControl w:val="0"/>
        <w:numPr>
          <w:ilvl w:val="2"/>
          <w:numId w:val="0"/>
        </w:numPr>
        <w:kinsoku/>
        <w:wordWrap/>
        <w:overflowPunct/>
        <w:topLinePunct w:val="0"/>
        <w:autoSpaceDE/>
        <w:autoSpaceDN/>
        <w:bidi w:val="0"/>
        <w:adjustRightInd/>
        <w:snapToGrid/>
        <w:spacing w:line="560" w:lineRule="exact"/>
        <w:ind w:left="420" w:leftChars="200" w:firstLine="320" w:firstLineChars="100"/>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7.3.1.1</w:t>
      </w:r>
      <w:r>
        <w:rPr>
          <w:rFonts w:hint="eastAsia" w:ascii="仿宋_GB2312" w:hAnsi="仿宋_GB2312" w:eastAsia="仿宋_GB2312" w:cs="仿宋_GB2312"/>
          <w:color w:val="auto"/>
          <w:sz w:val="32"/>
          <w:szCs w:val="32"/>
          <w:highlight w:val="none"/>
        </w:rPr>
        <w:t>市场发用电量不平衡偏差电费</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（1）市场发用电量不平衡偏差电费由日前市场出清时用户申报结算电量与市场机组日前出清市场电量不同引起，计算公式如下：</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bCs/>
          <w:color w:val="auto"/>
          <w:sz w:val="32"/>
          <w:szCs w:val="32"/>
          <w:highlight w:val="none"/>
          <w:vertAlign w:val="subscript"/>
        </w:rPr>
      </w:pP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rPr>
        <w:t>发用电量不平衡偏差,t</w:t>
      </w:r>
      <w:r>
        <w:rPr>
          <w:rFonts w:hint="eastAsia" w:ascii="仿宋_GB2312" w:hAnsi="仿宋_GB2312" w:eastAsia="仿宋_GB2312" w:cs="仿宋_GB2312"/>
          <w:bCs/>
          <w:color w:val="auto"/>
          <w:sz w:val="32"/>
          <w:szCs w:val="32"/>
          <w:highlight w:val="none"/>
        </w:rPr>
        <w:t>=[</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bCs/>
          <w:color w:val="auto"/>
          <w:sz w:val="32"/>
          <w:szCs w:val="32"/>
          <w:highlight w:val="none"/>
          <w:vertAlign w:val="subscript"/>
        </w:rPr>
        <w:t>用户日前申报,t</w:t>
      </w:r>
      <w:r>
        <w:rPr>
          <w:rFonts w:hint="eastAsia" w:ascii="仿宋_GB2312" w:hAnsi="仿宋_GB2312" w:eastAsia="仿宋_GB2312" w:cs="仿宋_GB2312"/>
          <w:bCs/>
          <w:color w:val="auto"/>
          <w:sz w:val="32"/>
          <w:szCs w:val="32"/>
          <w:highlight w:val="none"/>
          <w:lang w:val="en-US" w:eastAsia="zh-CN"/>
        </w:rPr>
        <w:t>+</w:t>
      </w: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bCs/>
          <w:color w:val="auto"/>
          <w:sz w:val="32"/>
          <w:szCs w:val="32"/>
          <w:highlight w:val="none"/>
          <w:vertAlign w:val="subscript"/>
          <w:lang w:val="en-US" w:eastAsia="zh-CN"/>
        </w:rPr>
        <w:t>代购日前</w:t>
      </w:r>
      <w:r>
        <w:rPr>
          <w:rFonts w:hint="eastAsia" w:ascii="仿宋_GB2312" w:hAnsi="仿宋_GB2312" w:eastAsia="仿宋_GB2312" w:cs="仿宋_GB2312"/>
          <w:bCs/>
          <w:color w:val="auto"/>
          <w:sz w:val="32"/>
          <w:szCs w:val="32"/>
          <w:highlight w:val="none"/>
          <w:vertAlign w:val="subscript"/>
        </w:rPr>
        <w:t>,t</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bCs/>
          <w:color w:val="auto"/>
          <w:sz w:val="32"/>
          <w:szCs w:val="32"/>
          <w:highlight w:val="none"/>
          <w:vertAlign w:val="subscript"/>
        </w:rPr>
        <w:t>日前,t</w:t>
      </w: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bCs/>
          <w:color w:val="auto"/>
          <w:sz w:val="32"/>
          <w:szCs w:val="32"/>
          <w:highlight w:val="none"/>
          <w:vertAlign w:val="subscript"/>
        </w:rPr>
        <w:t>送端日前,t</w:t>
      </w:r>
      <w:r>
        <w:rPr>
          <w:rFonts w:hint="eastAsia" w:ascii="仿宋_GB2312" w:hAnsi="仿宋_GB2312" w:eastAsia="仿宋_GB2312" w:cs="仿宋_GB2312"/>
          <w:bCs/>
          <w:color w:val="auto"/>
          <w:sz w:val="32"/>
          <w:szCs w:val="32"/>
          <w:highlight w:val="none"/>
          <w:vertAlign w:val="baseline"/>
          <w:lang w:val="en-US" w:eastAsia="zh-CN"/>
        </w:rPr>
        <w:t>+</w:t>
      </w: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bCs/>
          <w:color w:val="auto"/>
          <w:sz w:val="32"/>
          <w:szCs w:val="32"/>
          <w:highlight w:val="none"/>
          <w:vertAlign w:val="subscript"/>
          <w:lang w:eastAsia="zh-CN"/>
        </w:rPr>
        <w:t>受</w:t>
      </w:r>
      <w:r>
        <w:rPr>
          <w:rFonts w:hint="eastAsia" w:ascii="仿宋_GB2312" w:hAnsi="仿宋_GB2312" w:eastAsia="仿宋_GB2312" w:cs="仿宋_GB2312"/>
          <w:bCs/>
          <w:color w:val="auto"/>
          <w:sz w:val="32"/>
          <w:szCs w:val="32"/>
          <w:highlight w:val="none"/>
          <w:vertAlign w:val="subscript"/>
        </w:rPr>
        <w:t>端日前,t</w:t>
      </w: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bCs/>
          <w:color w:val="auto"/>
          <w:sz w:val="32"/>
          <w:szCs w:val="32"/>
          <w:highlight w:val="none"/>
          <w:vertAlign w:val="subscript"/>
        </w:rPr>
        <w:t>日前统一,t</w:t>
      </w: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bCs/>
          <w:color w:val="auto"/>
          <w:sz w:val="32"/>
          <w:szCs w:val="32"/>
          <w:highlight w:val="none"/>
          <w:vertAlign w:val="subscript"/>
        </w:rPr>
        <w:t>实时统一,t</w:t>
      </w:r>
      <w:r>
        <w:rPr>
          <w:rFonts w:hint="eastAsia" w:ascii="仿宋_GB2312" w:hAnsi="仿宋_GB2312" w:eastAsia="仿宋_GB2312" w:cs="仿宋_GB2312"/>
          <w:bCs/>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bCs/>
          <w:color w:val="auto"/>
          <w:sz w:val="32"/>
          <w:szCs w:val="32"/>
          <w:highlight w:val="none"/>
          <w:vertAlign w:val="subscript"/>
        </w:rPr>
        <w:t>用户日前申报,t</w:t>
      </w:r>
      <w:r>
        <w:rPr>
          <w:rFonts w:hint="eastAsia" w:ascii="仿宋_GB2312" w:hAnsi="仿宋_GB2312" w:eastAsia="仿宋_GB2312" w:cs="仿宋_GB2312"/>
          <w:color w:val="auto"/>
          <w:sz w:val="32"/>
          <w:szCs w:val="32"/>
          <w:highlight w:val="none"/>
        </w:rPr>
        <w:t>为用户侧日前T时申报总电量，已扣除需求侧响应中标容量折算电量；</w:t>
      </w:r>
    </w:p>
    <w:p>
      <w:pPr>
        <w:pStyle w:val="31"/>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bCs/>
          <w:color w:val="auto"/>
          <w:kern w:val="2"/>
          <w:sz w:val="32"/>
          <w:szCs w:val="32"/>
          <w:highlight w:val="none"/>
          <w:vertAlign w:val="subscript"/>
          <w:lang w:val="en-US" w:eastAsia="zh-CN" w:bidi="ar-SA"/>
        </w:rPr>
        <w:t>代购日前,t</w:t>
      </w:r>
      <w:r>
        <w:rPr>
          <w:rFonts w:hint="eastAsia" w:ascii="仿宋_GB2312" w:hAnsi="仿宋_GB2312" w:eastAsia="仿宋_GB2312" w:cs="仿宋_GB2312"/>
          <w:bCs/>
          <w:color w:val="auto"/>
          <w:sz w:val="32"/>
          <w:szCs w:val="32"/>
          <w:highlight w:val="none"/>
        </w:rPr>
        <w:t>为电网企业日前市场申报的T时段电网代理购电的需求电量；</w:t>
      </w:r>
    </w:p>
    <w:p>
      <w:pPr>
        <w:pStyle w:val="35"/>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color w:val="auto"/>
          <w:sz w:val="32"/>
          <w:szCs w:val="32"/>
          <w:highlight w:val="none"/>
        </w:rPr>
        <w:t>Q</w:t>
      </w:r>
      <w:r>
        <w:rPr>
          <w:rFonts w:hint="eastAsia" w:ascii="仿宋_GB2312" w:hAnsi="仿宋_GB2312" w:eastAsia="仿宋_GB2312" w:cs="仿宋_GB2312"/>
          <w:color w:val="auto"/>
          <w:sz w:val="32"/>
          <w:szCs w:val="32"/>
          <w:highlight w:val="none"/>
          <w:vertAlign w:val="subscript"/>
        </w:rPr>
        <w:t>日前，t</w:t>
      </w:r>
      <w:r>
        <w:rPr>
          <w:rFonts w:hint="eastAsia" w:ascii="仿宋_GB2312" w:hAnsi="仿宋_GB2312" w:eastAsia="仿宋_GB2312" w:cs="仿宋_GB2312"/>
          <w:bCs/>
          <w:color w:val="auto"/>
          <w:sz w:val="32"/>
          <w:szCs w:val="32"/>
          <w:highlight w:val="none"/>
        </w:rPr>
        <w:t>为机组日前市场T时段出清总电量；</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bCs/>
          <w:color w:val="auto"/>
          <w:sz w:val="32"/>
          <w:szCs w:val="32"/>
          <w:highlight w:val="none"/>
          <w:vertAlign w:val="subscript"/>
        </w:rPr>
        <w:t>送端日前,</w:t>
      </w:r>
      <w:r>
        <w:rPr>
          <w:rFonts w:hint="eastAsia" w:ascii="仿宋_GB2312" w:hAnsi="仿宋_GB2312" w:eastAsia="仿宋_GB2312" w:cs="仿宋_GB2312"/>
          <w:bCs/>
          <w:color w:val="auto"/>
          <w:sz w:val="32"/>
          <w:szCs w:val="32"/>
          <w:highlight w:val="none"/>
        </w:rPr>
        <w:t>为机组日前市场T时段送</w:t>
      </w:r>
      <w:r>
        <w:rPr>
          <w:rFonts w:hint="eastAsia" w:ascii="仿宋_GB2312" w:hAnsi="仿宋_GB2312" w:eastAsia="仿宋_GB2312" w:cs="仿宋_GB2312"/>
          <w:bCs/>
          <w:color w:val="auto"/>
          <w:sz w:val="32"/>
          <w:szCs w:val="32"/>
          <w:highlight w:val="none"/>
          <w:lang w:eastAsia="zh-CN"/>
        </w:rPr>
        <w:t>出侧结算</w:t>
      </w:r>
      <w:r>
        <w:rPr>
          <w:rFonts w:hint="eastAsia" w:ascii="仿宋_GB2312" w:hAnsi="仿宋_GB2312" w:eastAsia="仿宋_GB2312" w:cs="仿宋_GB2312"/>
          <w:bCs/>
          <w:color w:val="auto"/>
          <w:sz w:val="32"/>
          <w:szCs w:val="32"/>
          <w:highlight w:val="none"/>
        </w:rPr>
        <w:t>电量；</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bCs/>
          <w:color w:val="auto"/>
          <w:sz w:val="32"/>
          <w:szCs w:val="32"/>
          <w:highlight w:val="none"/>
          <w:vertAlign w:val="subscript"/>
          <w:lang w:eastAsia="zh-CN"/>
        </w:rPr>
        <w:t>受</w:t>
      </w:r>
      <w:r>
        <w:rPr>
          <w:rFonts w:hint="eastAsia" w:ascii="仿宋_GB2312" w:hAnsi="仿宋_GB2312" w:eastAsia="仿宋_GB2312" w:cs="仿宋_GB2312"/>
          <w:bCs/>
          <w:color w:val="auto"/>
          <w:sz w:val="32"/>
          <w:szCs w:val="32"/>
          <w:highlight w:val="none"/>
          <w:vertAlign w:val="subscript"/>
        </w:rPr>
        <w:t>端日前,t</w:t>
      </w:r>
      <w:r>
        <w:rPr>
          <w:rFonts w:hint="eastAsia" w:ascii="仿宋_GB2312" w:hAnsi="仿宋_GB2312" w:eastAsia="仿宋_GB2312" w:cs="仿宋_GB2312"/>
          <w:bCs/>
          <w:color w:val="auto"/>
          <w:sz w:val="32"/>
          <w:szCs w:val="32"/>
          <w:highlight w:val="none"/>
        </w:rPr>
        <w:t>为机组日前市场T时段</w:t>
      </w:r>
      <w:r>
        <w:rPr>
          <w:rFonts w:hint="eastAsia" w:ascii="仿宋_GB2312" w:hAnsi="仿宋_GB2312" w:eastAsia="仿宋_GB2312" w:cs="仿宋_GB2312"/>
          <w:bCs/>
          <w:color w:val="auto"/>
          <w:sz w:val="32"/>
          <w:szCs w:val="32"/>
          <w:highlight w:val="none"/>
          <w:lang w:eastAsia="zh-CN"/>
        </w:rPr>
        <w:t>落地侧结算</w:t>
      </w:r>
      <w:r>
        <w:rPr>
          <w:rFonts w:hint="eastAsia" w:ascii="仿宋_GB2312" w:hAnsi="仿宋_GB2312" w:eastAsia="仿宋_GB2312" w:cs="仿宋_GB2312"/>
          <w:bCs/>
          <w:color w:val="auto"/>
          <w:sz w:val="32"/>
          <w:szCs w:val="32"/>
          <w:highlight w:val="none"/>
        </w:rPr>
        <w:t>电量；</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bCs/>
          <w:color w:val="auto"/>
          <w:sz w:val="32"/>
          <w:szCs w:val="32"/>
          <w:highlight w:val="none"/>
          <w:vertAlign w:val="subscript"/>
        </w:rPr>
        <w:t>日前统一,t</w:t>
      </w:r>
      <w:r>
        <w:rPr>
          <w:rFonts w:hint="eastAsia" w:ascii="仿宋_GB2312" w:hAnsi="仿宋_GB2312" w:eastAsia="仿宋_GB2312" w:cs="仿宋_GB2312"/>
          <w:bCs/>
          <w:color w:val="auto"/>
          <w:sz w:val="32"/>
          <w:szCs w:val="32"/>
          <w:highlight w:val="none"/>
        </w:rPr>
        <w:t>为日前市场T时段统一结算点电价；</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bCs/>
          <w:color w:val="auto"/>
          <w:sz w:val="32"/>
          <w:szCs w:val="32"/>
          <w:highlight w:val="none"/>
          <w:vertAlign w:val="subscript"/>
        </w:rPr>
        <w:t>实时统一,t</w:t>
      </w:r>
      <w:r>
        <w:rPr>
          <w:rFonts w:hint="eastAsia" w:ascii="仿宋_GB2312" w:hAnsi="仿宋_GB2312" w:eastAsia="仿宋_GB2312" w:cs="仿宋_GB2312"/>
          <w:color w:val="auto"/>
          <w:sz w:val="32"/>
          <w:szCs w:val="32"/>
          <w:highlight w:val="none"/>
        </w:rPr>
        <w:t>为</w:t>
      </w:r>
      <w:r>
        <w:rPr>
          <w:rFonts w:hint="eastAsia" w:ascii="仿宋_GB2312" w:hAnsi="仿宋_GB2312" w:eastAsia="仿宋_GB2312" w:cs="仿宋_GB2312"/>
          <w:bCs/>
          <w:color w:val="auto"/>
          <w:sz w:val="32"/>
          <w:szCs w:val="32"/>
          <w:highlight w:val="none"/>
        </w:rPr>
        <w:t>实时市场T时段统一结算点电价</w:t>
      </w:r>
      <w:r>
        <w:rPr>
          <w:rFonts w:hint="eastAsia" w:ascii="仿宋_GB2312" w:hAnsi="仿宋_GB2312" w:eastAsia="仿宋_GB2312" w:cs="仿宋_GB2312"/>
          <w:color w:val="auto"/>
          <w:sz w:val="32"/>
          <w:szCs w:val="32"/>
          <w:highlight w:val="none"/>
        </w:rPr>
        <w:t>。</w:t>
      </w:r>
    </w:p>
    <w:p>
      <w:pPr>
        <w:pStyle w:val="31"/>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（2）市场发用电量不平衡偏差电费根据“按小时统计、按月分摊”的原则，发电侧按全月市场电量比例分摊或返还，用户侧按批发用户全月用电量和电网企业代购市场实际分时电量比例分摊或返还。</w:t>
      </w:r>
    </w:p>
    <w:p>
      <w:pPr>
        <w:pStyle w:val="31"/>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其中：</w:t>
      </w:r>
    </w:p>
    <w:p>
      <w:pPr>
        <w:pStyle w:val="31"/>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color w:val="auto"/>
          <w:sz w:val="32"/>
          <w:szCs w:val="32"/>
          <w:highlight w:val="none"/>
        </w:rPr>
        <w:t>当</w:t>
      </w:r>
      <w:r>
        <w:rPr>
          <w:rStyle w:val="47"/>
          <w:rFonts w:hint="eastAsia" w:ascii="仿宋_GB2312" w:hAnsi="仿宋_GB2312" w:eastAsia="仿宋_GB2312" w:cs="仿宋_GB2312"/>
          <w:bCs/>
          <w:color w:val="auto"/>
          <w:sz w:val="32"/>
          <w:szCs w:val="32"/>
          <w:highlight w:val="none"/>
        </w:rPr>
        <w:t>P</w:t>
      </w:r>
      <w:r>
        <w:rPr>
          <w:rStyle w:val="47"/>
          <w:rFonts w:hint="eastAsia" w:ascii="仿宋_GB2312" w:hAnsi="仿宋_GB2312" w:eastAsia="仿宋_GB2312" w:cs="仿宋_GB2312"/>
          <w:bCs/>
          <w:color w:val="auto"/>
          <w:sz w:val="32"/>
          <w:szCs w:val="32"/>
          <w:highlight w:val="none"/>
          <w:vertAlign w:val="subscript"/>
        </w:rPr>
        <w:t>发电日前加权,t</w:t>
      </w:r>
      <w:r>
        <w:rPr>
          <w:rStyle w:val="47"/>
          <w:rFonts w:hint="eastAsia" w:ascii="仿宋_GB2312" w:hAnsi="仿宋_GB2312" w:eastAsia="仿宋_GB2312" w:cs="仿宋_GB2312"/>
          <w:bCs/>
          <w:color w:val="auto"/>
          <w:sz w:val="32"/>
          <w:szCs w:val="32"/>
          <w:highlight w:val="none"/>
        </w:rPr>
        <w:t>＞P</w:t>
      </w:r>
      <w:r>
        <w:rPr>
          <w:rStyle w:val="47"/>
          <w:rFonts w:hint="eastAsia" w:ascii="仿宋_GB2312" w:hAnsi="仿宋_GB2312" w:eastAsia="仿宋_GB2312" w:cs="仿宋_GB2312"/>
          <w:bCs/>
          <w:color w:val="auto"/>
          <w:sz w:val="32"/>
          <w:szCs w:val="32"/>
          <w:highlight w:val="none"/>
          <w:vertAlign w:val="subscript"/>
        </w:rPr>
        <w:t>发电实时加权,t</w:t>
      </w:r>
      <w:r>
        <w:rPr>
          <w:rFonts w:hint="eastAsia" w:ascii="仿宋_GB2312" w:hAnsi="仿宋_GB2312" w:eastAsia="仿宋_GB2312" w:cs="仿宋_GB2312"/>
          <w:color w:val="auto"/>
          <w:sz w:val="32"/>
          <w:szCs w:val="32"/>
          <w:highlight w:val="none"/>
        </w:rPr>
        <w:t>且</w:t>
      </w: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rPr>
        <w:t>发用电量不平衡偏差,t</w:t>
      </w:r>
      <w:r>
        <w:rPr>
          <w:rStyle w:val="47"/>
          <w:rFonts w:hint="eastAsia" w:ascii="仿宋_GB2312" w:hAnsi="仿宋_GB2312" w:eastAsia="仿宋_GB2312" w:cs="仿宋_GB2312"/>
          <w:bCs/>
          <w:color w:val="auto"/>
          <w:sz w:val="32"/>
          <w:szCs w:val="32"/>
          <w:highlight w:val="none"/>
        </w:rPr>
        <w:t>＞</w:t>
      </w:r>
      <w:r>
        <w:rPr>
          <w:rFonts w:hint="eastAsia" w:ascii="仿宋_GB2312" w:hAnsi="仿宋_GB2312" w:eastAsia="仿宋_GB2312" w:cs="仿宋_GB2312"/>
          <w:bCs/>
          <w:color w:val="auto"/>
          <w:sz w:val="32"/>
          <w:szCs w:val="32"/>
          <w:highlight w:val="none"/>
        </w:rPr>
        <w:t>0</w:t>
      </w:r>
      <w:r>
        <w:rPr>
          <w:rFonts w:hint="eastAsia" w:ascii="仿宋_GB2312" w:hAnsi="仿宋_GB2312" w:eastAsia="仿宋_GB2312" w:cs="仿宋_GB2312"/>
          <w:color w:val="auto"/>
          <w:sz w:val="32"/>
          <w:szCs w:val="32"/>
          <w:highlight w:val="none"/>
        </w:rPr>
        <w:t>时，</w:t>
      </w: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rPr>
        <w:t>发用电量不平衡偏差,t</w:t>
      </w:r>
      <w:r>
        <w:rPr>
          <w:rFonts w:hint="eastAsia" w:ascii="仿宋_GB2312" w:hAnsi="仿宋_GB2312" w:eastAsia="仿宋_GB2312" w:cs="仿宋_GB2312"/>
          <w:color w:val="auto"/>
          <w:sz w:val="32"/>
          <w:szCs w:val="32"/>
          <w:highlight w:val="none"/>
        </w:rPr>
        <w:t>累计至用户侧分享；</w:t>
      </w:r>
    </w:p>
    <w:p>
      <w:pPr>
        <w:pStyle w:val="31"/>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当</w:t>
      </w:r>
      <w:r>
        <w:rPr>
          <w:rStyle w:val="47"/>
          <w:rFonts w:hint="eastAsia" w:ascii="仿宋_GB2312" w:hAnsi="仿宋_GB2312" w:eastAsia="仿宋_GB2312" w:cs="仿宋_GB2312"/>
          <w:bCs/>
          <w:color w:val="auto"/>
          <w:sz w:val="32"/>
          <w:szCs w:val="32"/>
          <w:highlight w:val="none"/>
        </w:rPr>
        <w:t>P</w:t>
      </w:r>
      <w:r>
        <w:rPr>
          <w:rStyle w:val="47"/>
          <w:rFonts w:hint="eastAsia" w:ascii="仿宋_GB2312" w:hAnsi="仿宋_GB2312" w:eastAsia="仿宋_GB2312" w:cs="仿宋_GB2312"/>
          <w:bCs/>
          <w:color w:val="auto"/>
          <w:sz w:val="32"/>
          <w:szCs w:val="32"/>
          <w:highlight w:val="none"/>
          <w:vertAlign w:val="subscript"/>
        </w:rPr>
        <w:t>发电日前加权,t</w:t>
      </w:r>
      <w:r>
        <w:rPr>
          <w:rStyle w:val="47"/>
          <w:rFonts w:hint="eastAsia" w:ascii="仿宋_GB2312" w:hAnsi="仿宋_GB2312" w:eastAsia="仿宋_GB2312" w:cs="仿宋_GB2312"/>
          <w:bCs/>
          <w:color w:val="auto"/>
          <w:sz w:val="32"/>
          <w:szCs w:val="32"/>
          <w:highlight w:val="none"/>
        </w:rPr>
        <w:t>＞P</w:t>
      </w:r>
      <w:r>
        <w:rPr>
          <w:rStyle w:val="47"/>
          <w:rFonts w:hint="eastAsia" w:ascii="仿宋_GB2312" w:hAnsi="仿宋_GB2312" w:eastAsia="仿宋_GB2312" w:cs="仿宋_GB2312"/>
          <w:bCs/>
          <w:color w:val="auto"/>
          <w:sz w:val="32"/>
          <w:szCs w:val="32"/>
          <w:highlight w:val="none"/>
          <w:vertAlign w:val="subscript"/>
        </w:rPr>
        <w:t>发电实时加权,t</w:t>
      </w:r>
      <w:r>
        <w:rPr>
          <w:rFonts w:hint="eastAsia" w:ascii="仿宋_GB2312" w:hAnsi="仿宋_GB2312" w:eastAsia="仿宋_GB2312" w:cs="仿宋_GB2312"/>
          <w:color w:val="auto"/>
          <w:sz w:val="32"/>
          <w:szCs w:val="32"/>
          <w:highlight w:val="none"/>
        </w:rPr>
        <w:t>且</w:t>
      </w: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rPr>
        <w:t>发用电量不平衡偏差,t</w:t>
      </w:r>
      <w:r>
        <w:rPr>
          <w:rFonts w:hint="eastAsia" w:ascii="仿宋_GB2312" w:hAnsi="仿宋_GB2312" w:eastAsia="仿宋_GB2312" w:cs="仿宋_GB2312"/>
          <w:bCs/>
          <w:color w:val="auto"/>
          <w:sz w:val="32"/>
          <w:szCs w:val="32"/>
          <w:highlight w:val="none"/>
        </w:rPr>
        <w:t>＜0</w:t>
      </w:r>
      <w:r>
        <w:rPr>
          <w:rFonts w:hint="eastAsia" w:ascii="仿宋_GB2312" w:hAnsi="仿宋_GB2312" w:eastAsia="仿宋_GB2312" w:cs="仿宋_GB2312"/>
          <w:color w:val="auto"/>
          <w:sz w:val="32"/>
          <w:szCs w:val="32"/>
          <w:highlight w:val="none"/>
        </w:rPr>
        <w:t>时，</w:t>
      </w: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rPr>
        <w:t>发用电量不平衡偏差,t</w:t>
      </w:r>
      <w:r>
        <w:rPr>
          <w:rFonts w:hint="eastAsia" w:ascii="仿宋_GB2312" w:hAnsi="仿宋_GB2312" w:eastAsia="仿宋_GB2312" w:cs="仿宋_GB2312"/>
          <w:color w:val="auto"/>
          <w:sz w:val="32"/>
          <w:szCs w:val="32"/>
          <w:highlight w:val="none"/>
        </w:rPr>
        <w:t>累计至发电侧分摊；</w:t>
      </w:r>
    </w:p>
    <w:p>
      <w:pPr>
        <w:pStyle w:val="31"/>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当</w:t>
      </w:r>
      <w:r>
        <w:rPr>
          <w:rStyle w:val="47"/>
          <w:rFonts w:hint="eastAsia" w:ascii="仿宋_GB2312" w:hAnsi="仿宋_GB2312" w:eastAsia="仿宋_GB2312" w:cs="仿宋_GB2312"/>
          <w:bCs/>
          <w:color w:val="auto"/>
          <w:sz w:val="32"/>
          <w:szCs w:val="32"/>
          <w:highlight w:val="none"/>
        </w:rPr>
        <w:t>P</w:t>
      </w:r>
      <w:r>
        <w:rPr>
          <w:rStyle w:val="47"/>
          <w:rFonts w:hint="eastAsia" w:ascii="仿宋_GB2312" w:hAnsi="仿宋_GB2312" w:eastAsia="仿宋_GB2312" w:cs="仿宋_GB2312"/>
          <w:bCs/>
          <w:color w:val="auto"/>
          <w:sz w:val="32"/>
          <w:szCs w:val="32"/>
          <w:highlight w:val="none"/>
          <w:vertAlign w:val="subscript"/>
        </w:rPr>
        <w:t>发电日前加权,t</w:t>
      </w:r>
      <w:r>
        <w:rPr>
          <w:rFonts w:hint="eastAsia" w:ascii="仿宋_GB2312" w:hAnsi="仿宋_GB2312" w:eastAsia="仿宋_GB2312" w:cs="仿宋_GB2312"/>
          <w:bCs/>
          <w:color w:val="auto"/>
          <w:sz w:val="32"/>
          <w:szCs w:val="32"/>
          <w:highlight w:val="none"/>
        </w:rPr>
        <w:t>＜</w:t>
      </w:r>
      <w:r>
        <w:rPr>
          <w:rStyle w:val="47"/>
          <w:rFonts w:hint="eastAsia" w:ascii="仿宋_GB2312" w:hAnsi="仿宋_GB2312" w:eastAsia="仿宋_GB2312" w:cs="仿宋_GB2312"/>
          <w:bCs/>
          <w:color w:val="auto"/>
          <w:sz w:val="32"/>
          <w:szCs w:val="32"/>
          <w:highlight w:val="none"/>
        </w:rPr>
        <w:t>P</w:t>
      </w:r>
      <w:r>
        <w:rPr>
          <w:rStyle w:val="47"/>
          <w:rFonts w:hint="eastAsia" w:ascii="仿宋_GB2312" w:hAnsi="仿宋_GB2312" w:eastAsia="仿宋_GB2312" w:cs="仿宋_GB2312"/>
          <w:bCs/>
          <w:color w:val="auto"/>
          <w:sz w:val="32"/>
          <w:szCs w:val="32"/>
          <w:highlight w:val="none"/>
          <w:vertAlign w:val="subscript"/>
        </w:rPr>
        <w:t>发电实时加权,t</w:t>
      </w:r>
      <w:r>
        <w:rPr>
          <w:rFonts w:hint="eastAsia" w:ascii="仿宋_GB2312" w:hAnsi="仿宋_GB2312" w:eastAsia="仿宋_GB2312" w:cs="仿宋_GB2312"/>
          <w:color w:val="auto"/>
          <w:sz w:val="32"/>
          <w:szCs w:val="32"/>
          <w:highlight w:val="none"/>
        </w:rPr>
        <w:t>且</w:t>
      </w: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rPr>
        <w:t>发用电量不平衡偏差,t</w:t>
      </w:r>
      <w:r>
        <w:rPr>
          <w:rFonts w:hint="eastAsia" w:ascii="仿宋_GB2312" w:hAnsi="仿宋_GB2312" w:eastAsia="仿宋_GB2312" w:cs="仿宋_GB2312"/>
          <w:bCs/>
          <w:color w:val="auto"/>
          <w:sz w:val="32"/>
          <w:szCs w:val="32"/>
          <w:highlight w:val="none"/>
        </w:rPr>
        <w:t>＜0</w:t>
      </w:r>
      <w:r>
        <w:rPr>
          <w:rFonts w:hint="eastAsia" w:ascii="仿宋_GB2312" w:hAnsi="仿宋_GB2312" w:eastAsia="仿宋_GB2312" w:cs="仿宋_GB2312"/>
          <w:color w:val="auto"/>
          <w:sz w:val="32"/>
          <w:szCs w:val="32"/>
          <w:highlight w:val="none"/>
        </w:rPr>
        <w:t>时，</w:t>
      </w: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rPr>
        <w:t>发用电量不平衡偏差,t</w:t>
      </w:r>
      <w:r>
        <w:rPr>
          <w:rFonts w:hint="eastAsia" w:ascii="仿宋_GB2312" w:hAnsi="仿宋_GB2312" w:eastAsia="仿宋_GB2312" w:cs="仿宋_GB2312"/>
          <w:color w:val="auto"/>
          <w:sz w:val="32"/>
          <w:szCs w:val="32"/>
          <w:highlight w:val="none"/>
        </w:rPr>
        <w:t>累计至用户侧分摊；</w:t>
      </w:r>
    </w:p>
    <w:p>
      <w:pPr>
        <w:pStyle w:val="31"/>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color w:val="auto"/>
          <w:sz w:val="32"/>
          <w:szCs w:val="32"/>
          <w:highlight w:val="none"/>
        </w:rPr>
        <w:t>当</w:t>
      </w:r>
      <w:r>
        <w:rPr>
          <w:rStyle w:val="47"/>
          <w:rFonts w:hint="eastAsia" w:ascii="仿宋_GB2312" w:hAnsi="仿宋_GB2312" w:eastAsia="仿宋_GB2312" w:cs="仿宋_GB2312"/>
          <w:bCs/>
          <w:color w:val="auto"/>
          <w:sz w:val="32"/>
          <w:szCs w:val="32"/>
          <w:highlight w:val="none"/>
        </w:rPr>
        <w:t>P</w:t>
      </w:r>
      <w:r>
        <w:rPr>
          <w:rStyle w:val="47"/>
          <w:rFonts w:hint="eastAsia" w:ascii="仿宋_GB2312" w:hAnsi="仿宋_GB2312" w:eastAsia="仿宋_GB2312" w:cs="仿宋_GB2312"/>
          <w:bCs/>
          <w:color w:val="auto"/>
          <w:sz w:val="32"/>
          <w:szCs w:val="32"/>
          <w:highlight w:val="none"/>
          <w:vertAlign w:val="subscript"/>
        </w:rPr>
        <w:t>发电日前加权,t</w:t>
      </w:r>
      <w:r>
        <w:rPr>
          <w:rFonts w:hint="eastAsia" w:ascii="仿宋_GB2312" w:hAnsi="仿宋_GB2312" w:eastAsia="仿宋_GB2312" w:cs="仿宋_GB2312"/>
          <w:bCs/>
          <w:color w:val="auto"/>
          <w:sz w:val="32"/>
          <w:szCs w:val="32"/>
          <w:highlight w:val="none"/>
        </w:rPr>
        <w:t>＜</w:t>
      </w:r>
      <w:r>
        <w:rPr>
          <w:rStyle w:val="47"/>
          <w:rFonts w:hint="eastAsia" w:ascii="仿宋_GB2312" w:hAnsi="仿宋_GB2312" w:eastAsia="仿宋_GB2312" w:cs="仿宋_GB2312"/>
          <w:bCs/>
          <w:color w:val="auto"/>
          <w:sz w:val="32"/>
          <w:szCs w:val="32"/>
          <w:highlight w:val="none"/>
        </w:rPr>
        <w:t>P</w:t>
      </w:r>
      <w:r>
        <w:rPr>
          <w:rStyle w:val="47"/>
          <w:rFonts w:hint="eastAsia" w:ascii="仿宋_GB2312" w:hAnsi="仿宋_GB2312" w:eastAsia="仿宋_GB2312" w:cs="仿宋_GB2312"/>
          <w:bCs/>
          <w:color w:val="auto"/>
          <w:sz w:val="32"/>
          <w:szCs w:val="32"/>
          <w:highlight w:val="none"/>
          <w:vertAlign w:val="subscript"/>
        </w:rPr>
        <w:t>发电实时加权,t</w:t>
      </w:r>
      <w:r>
        <w:rPr>
          <w:rFonts w:hint="eastAsia" w:ascii="仿宋_GB2312" w:hAnsi="仿宋_GB2312" w:eastAsia="仿宋_GB2312" w:cs="仿宋_GB2312"/>
          <w:color w:val="auto"/>
          <w:sz w:val="32"/>
          <w:szCs w:val="32"/>
          <w:highlight w:val="none"/>
        </w:rPr>
        <w:t>且</w:t>
      </w: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rPr>
        <w:t>发用电量不平衡偏差,t</w:t>
      </w:r>
      <w:r>
        <w:rPr>
          <w:rStyle w:val="47"/>
          <w:rFonts w:hint="eastAsia" w:ascii="仿宋_GB2312" w:hAnsi="仿宋_GB2312" w:eastAsia="仿宋_GB2312" w:cs="仿宋_GB2312"/>
          <w:bCs/>
          <w:color w:val="auto"/>
          <w:sz w:val="32"/>
          <w:szCs w:val="32"/>
          <w:highlight w:val="none"/>
        </w:rPr>
        <w:t>＞</w:t>
      </w:r>
      <w:r>
        <w:rPr>
          <w:rFonts w:hint="eastAsia" w:ascii="仿宋_GB2312" w:hAnsi="仿宋_GB2312" w:eastAsia="仿宋_GB2312" w:cs="仿宋_GB2312"/>
          <w:bCs/>
          <w:color w:val="auto"/>
          <w:sz w:val="32"/>
          <w:szCs w:val="32"/>
          <w:highlight w:val="none"/>
        </w:rPr>
        <w:t>0</w:t>
      </w:r>
      <w:r>
        <w:rPr>
          <w:rFonts w:hint="eastAsia" w:ascii="仿宋_GB2312" w:hAnsi="仿宋_GB2312" w:eastAsia="仿宋_GB2312" w:cs="仿宋_GB2312"/>
          <w:color w:val="auto"/>
          <w:sz w:val="32"/>
          <w:szCs w:val="32"/>
          <w:highlight w:val="none"/>
        </w:rPr>
        <w:t>时，</w:t>
      </w: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rPr>
        <w:t>发用电量不平衡偏差,t</w:t>
      </w:r>
      <w:r>
        <w:rPr>
          <w:rFonts w:hint="eastAsia" w:ascii="仿宋_GB2312" w:hAnsi="仿宋_GB2312" w:eastAsia="仿宋_GB2312" w:cs="仿宋_GB2312"/>
          <w:color w:val="auto"/>
          <w:sz w:val="32"/>
          <w:szCs w:val="32"/>
          <w:highlight w:val="none"/>
        </w:rPr>
        <w:t>累计至发电侧分享。</w:t>
      </w:r>
    </w:p>
    <w:p>
      <w:pPr>
        <w:pStyle w:val="31"/>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上式中，日前、实时加权平均电价根据机组日前市场电量按小时加权计算。</w:t>
      </w:r>
    </w:p>
    <w:p>
      <w:pPr>
        <w:pStyle w:val="67"/>
        <w:keepNext w:val="0"/>
        <w:keepLines w:val="0"/>
        <w:pageBreakBefore w:val="0"/>
        <w:widowControl w:val="0"/>
        <w:numPr>
          <w:ilvl w:val="2"/>
          <w:numId w:val="0"/>
        </w:numPr>
        <w:kinsoku/>
        <w:wordWrap/>
        <w:overflowPunct/>
        <w:topLinePunct w:val="0"/>
        <w:autoSpaceDE/>
        <w:autoSpaceDN/>
        <w:bidi w:val="0"/>
        <w:adjustRightInd/>
        <w:snapToGrid/>
        <w:spacing w:line="560" w:lineRule="exact"/>
        <w:ind w:firstLine="640" w:firstLineChars="200"/>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7.3.1.2</w:t>
      </w:r>
      <w:r>
        <w:rPr>
          <w:rFonts w:hint="eastAsia" w:ascii="仿宋_GB2312" w:hAnsi="仿宋_GB2312" w:eastAsia="仿宋_GB2312" w:cs="仿宋_GB2312"/>
          <w:color w:val="auto"/>
          <w:sz w:val="32"/>
          <w:szCs w:val="32"/>
          <w:highlight w:val="none"/>
        </w:rPr>
        <w:t>市场部分阻塞盈余</w:t>
      </w:r>
    </w:p>
    <w:p>
      <w:pPr>
        <w:pStyle w:val="31"/>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市场部分阻塞盈余等于市场盈余扣减发用不平衡电费得到，以月度为周期，由发电侧按全月上网电量（已扣减该时段的优先计划电量）比例分摊或分享。</w:t>
      </w:r>
    </w:p>
    <w:p>
      <w:pPr>
        <w:pStyle w:val="31"/>
        <w:keepNext w:val="0"/>
        <w:keepLines w:val="0"/>
        <w:pageBreakBefore w:val="0"/>
        <w:widowControl w:val="0"/>
        <w:kinsoku/>
        <w:wordWrap/>
        <w:overflowPunct/>
        <w:topLinePunct w:val="0"/>
        <w:autoSpaceDE/>
        <w:autoSpaceDN/>
        <w:bidi w:val="0"/>
        <w:adjustRightInd/>
        <w:snapToGrid/>
        <w:spacing w:line="560" w:lineRule="exact"/>
        <w:ind w:left="0" w:firstLine="640" w:firstLineChars="20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7.4市场调节类返还电费</w:t>
      </w:r>
    </w:p>
    <w:p>
      <w:pPr>
        <w:pStyle w:val="67"/>
        <w:keepNext w:val="0"/>
        <w:keepLines w:val="0"/>
        <w:pageBreakBefore w:val="0"/>
        <w:numPr>
          <w:ilvl w:val="2"/>
          <w:numId w:val="0"/>
        </w:numPr>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7.4.1</w:t>
      </w:r>
      <w:r>
        <w:rPr>
          <w:rFonts w:hint="eastAsia" w:ascii="仿宋_GB2312" w:hAnsi="仿宋_GB2312" w:eastAsia="仿宋_GB2312" w:cs="仿宋_GB2312"/>
          <w:b w:val="0"/>
          <w:bCs w:val="0"/>
          <w:color w:val="auto"/>
          <w:sz w:val="32"/>
          <w:szCs w:val="32"/>
          <w:highlight w:val="none"/>
        </w:rPr>
        <w:t>跨省不平衡资金</w:t>
      </w:r>
      <w:r>
        <w:rPr>
          <w:rFonts w:hint="eastAsia" w:ascii="仿宋_GB2312" w:hAnsi="仿宋_GB2312" w:eastAsia="仿宋_GB2312" w:cs="仿宋_GB2312"/>
          <w:b w:val="0"/>
          <w:bCs w:val="0"/>
          <w:color w:val="auto"/>
          <w:sz w:val="32"/>
          <w:szCs w:val="32"/>
          <w:highlight w:val="none"/>
          <w:lang w:eastAsia="zh-CN"/>
        </w:rPr>
        <w:t>和省间收益调节费用</w:t>
      </w:r>
    </w:p>
    <w:p>
      <w:pPr>
        <w:pStyle w:val="67"/>
        <w:keepNext w:val="0"/>
        <w:keepLines w:val="0"/>
        <w:pageBreakBefore w:val="0"/>
        <w:numPr>
          <w:ilvl w:val="2"/>
          <w:numId w:val="0"/>
        </w:numPr>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跨省不平衡资金指跨省现货交易送出侧价格与送端省（区）送出侧关口价格不同产生的不平衡资金。</w:t>
      </w:r>
      <w:r>
        <w:rPr>
          <w:rFonts w:hint="eastAsia" w:ascii="仿宋_GB2312" w:hAnsi="仿宋_GB2312" w:eastAsia="仿宋_GB2312" w:cs="仿宋_GB2312"/>
          <w:color w:val="auto"/>
          <w:sz w:val="32"/>
          <w:szCs w:val="32"/>
          <w:highlight w:val="none"/>
          <w:lang w:eastAsia="zh-CN"/>
        </w:rPr>
        <w:t>省间收益调节费用指</w:t>
      </w:r>
      <w:r>
        <w:rPr>
          <w:rFonts w:hint="eastAsia" w:ascii="仿宋_GB2312" w:hAnsi="仿宋_GB2312" w:eastAsia="仿宋_GB2312" w:cs="仿宋_GB2312"/>
          <w:color w:val="auto"/>
          <w:sz w:val="32"/>
          <w:szCs w:val="32"/>
          <w:highlight w:val="none"/>
        </w:rPr>
        <w:t>对于送受省区，省间送电类别现货市场费用进行事后计算判断，以落地侧为基准，逐日统计现货市场费用（含不平衡资金分摊）与收益调节基准的差值，超出收益调节基准的电费以日为单位向受端省区回收或补偿，并等额传递至送端省区，保持市场平稳过渡。广州电力交易中心按照《南方区域电力市场结算实施细则》</w:t>
      </w:r>
      <w:r>
        <w:rPr>
          <w:rFonts w:hint="eastAsia" w:ascii="仿宋_GB2312" w:hAnsi="仿宋_GB2312" w:eastAsia="仿宋_GB2312" w:cs="仿宋_GB2312"/>
          <w:color w:val="auto"/>
          <w:sz w:val="32"/>
          <w:szCs w:val="32"/>
          <w:highlight w:val="none"/>
          <w:lang w:eastAsia="zh-CN"/>
        </w:rPr>
        <w:t>分别</w:t>
      </w:r>
      <w:r>
        <w:rPr>
          <w:rFonts w:hint="eastAsia" w:ascii="仿宋_GB2312" w:hAnsi="仿宋_GB2312" w:eastAsia="仿宋_GB2312" w:cs="仿宋_GB2312"/>
          <w:color w:val="auto"/>
          <w:sz w:val="32"/>
          <w:szCs w:val="32"/>
          <w:highlight w:val="none"/>
        </w:rPr>
        <w:t>计算跨省不平衡资金</w:t>
      </w:r>
      <w:r>
        <w:rPr>
          <w:rFonts w:hint="eastAsia" w:ascii="仿宋_GB2312" w:hAnsi="仿宋_GB2312" w:eastAsia="仿宋_GB2312" w:cs="仿宋_GB2312"/>
          <w:color w:val="auto"/>
          <w:sz w:val="32"/>
          <w:szCs w:val="32"/>
          <w:highlight w:val="none"/>
          <w:lang w:eastAsia="zh-CN"/>
        </w:rPr>
        <w:t>和省间收益调节费用，并按不同送电类别向送（受）端电网企业推送分摊或分享费用。</w:t>
      </w:r>
    </w:p>
    <w:p>
      <w:pPr>
        <w:pStyle w:val="35"/>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需省内承担的跨省不平衡资金</w:t>
      </w:r>
      <w:r>
        <w:rPr>
          <w:rFonts w:hint="eastAsia" w:ascii="仿宋_GB2312" w:hAnsi="仿宋_GB2312" w:eastAsia="仿宋_GB2312" w:cs="仿宋_GB2312"/>
          <w:color w:val="auto"/>
          <w:sz w:val="32"/>
          <w:szCs w:val="32"/>
          <w:highlight w:val="none"/>
          <w:lang w:eastAsia="zh-CN"/>
        </w:rPr>
        <w:t>和省间收益调节费用，</w:t>
      </w:r>
      <w:r>
        <w:rPr>
          <w:rFonts w:hint="eastAsia" w:ascii="仿宋_GB2312" w:hAnsi="仿宋_GB2312" w:eastAsia="仿宋_GB2312" w:cs="仿宋_GB2312"/>
          <w:color w:val="auto"/>
          <w:sz w:val="32"/>
          <w:szCs w:val="32"/>
          <w:highlight w:val="none"/>
        </w:rPr>
        <w:t>按照送电类别分别计算，由各类别下</w:t>
      </w:r>
      <w:r>
        <w:rPr>
          <w:rFonts w:hint="eastAsia" w:ascii="仿宋_GB2312" w:hAnsi="仿宋_GB2312" w:eastAsia="仿宋_GB2312" w:cs="仿宋_GB2312"/>
          <w:color w:val="auto"/>
          <w:sz w:val="32"/>
          <w:szCs w:val="32"/>
          <w:highlight w:val="none"/>
          <w:lang w:eastAsia="zh-CN"/>
        </w:rPr>
        <w:t>经营主体</w:t>
      </w:r>
      <w:r>
        <w:rPr>
          <w:rFonts w:hint="eastAsia" w:ascii="仿宋_GB2312" w:hAnsi="仿宋_GB2312" w:eastAsia="仿宋_GB2312" w:cs="仿宋_GB2312"/>
          <w:color w:val="auto"/>
          <w:sz w:val="32"/>
          <w:szCs w:val="32"/>
          <w:highlight w:val="none"/>
        </w:rPr>
        <w:t>按照跨省中长期合约电量比例进行分摊或分享</w:t>
      </w:r>
      <w:r>
        <w:rPr>
          <w:rFonts w:hint="eastAsia" w:ascii="仿宋_GB2312" w:hAnsi="仿宋_GB2312" w:eastAsia="仿宋_GB2312" w:cs="仿宋_GB2312"/>
          <w:color w:val="auto"/>
          <w:sz w:val="32"/>
          <w:szCs w:val="32"/>
          <w:highlight w:val="none"/>
          <w:lang w:eastAsia="zh-CN"/>
        </w:rPr>
        <w:t>；若该送电类别下无经营主体</w:t>
      </w:r>
      <w:r>
        <w:rPr>
          <w:rFonts w:hint="eastAsia" w:ascii="仿宋_GB2312" w:hAnsi="仿宋_GB2312" w:eastAsia="仿宋_GB2312" w:cs="仿宋_GB2312"/>
          <w:color w:val="auto"/>
          <w:sz w:val="32"/>
          <w:szCs w:val="32"/>
          <w:highlight w:val="none"/>
        </w:rPr>
        <w:t>跨省中长期合约电量</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跨省不平衡资金</w:t>
      </w:r>
      <w:r>
        <w:rPr>
          <w:rFonts w:hint="eastAsia" w:ascii="仿宋_GB2312" w:hAnsi="仿宋_GB2312" w:eastAsia="仿宋_GB2312" w:cs="仿宋_GB2312"/>
          <w:color w:val="auto"/>
          <w:sz w:val="32"/>
          <w:szCs w:val="32"/>
          <w:highlight w:val="none"/>
          <w:lang w:eastAsia="zh-CN"/>
        </w:rPr>
        <w:t>和省间收益调节费用由电网企业分摊或分享。</w:t>
      </w:r>
      <w:r>
        <w:rPr>
          <w:rFonts w:hint="eastAsia" w:ascii="仿宋_GB2312" w:hAnsi="仿宋_GB2312" w:eastAsia="仿宋_GB2312" w:cs="仿宋_GB2312"/>
          <w:color w:val="auto"/>
          <w:sz w:val="32"/>
          <w:szCs w:val="32"/>
          <w:highlight w:val="none"/>
        </w:rPr>
        <w:t>如《南方区域电力市场结算实施细则》另有明确的，按规定执行。</w:t>
      </w:r>
    </w:p>
    <w:p>
      <w:pPr>
        <w:pStyle w:val="35"/>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7.4.2跨省不平衡资金分摊或分享</w:t>
      </w:r>
    </w:p>
    <w:p>
      <w:pPr>
        <w:pStyle w:val="35"/>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lang w:eastAsia="zh-CN"/>
        </w:rPr>
      </w:pPr>
      <w:r>
        <w:rPr>
          <w:rFonts w:hint="eastAsia" w:ascii="仿宋_GB2312" w:hAnsi="仿宋_GB2312" w:eastAsia="仿宋_GB2312" w:cs="仿宋_GB2312"/>
          <w:color w:val="auto"/>
          <w:sz w:val="32"/>
          <w:szCs w:val="32"/>
          <w:highlight w:val="none"/>
        </w:rPr>
        <w:t>R</w:t>
      </w:r>
      <w:r>
        <w:rPr>
          <w:rFonts w:hint="eastAsia" w:ascii="仿宋_GB2312" w:hAnsi="仿宋_GB2312" w:eastAsia="仿宋_GB2312" w:cs="仿宋_GB2312"/>
          <w:color w:val="auto"/>
          <w:sz w:val="32"/>
          <w:szCs w:val="32"/>
          <w:highlight w:val="none"/>
          <w:vertAlign w:val="subscript"/>
        </w:rPr>
        <w:t>跨省不平衡资金（</w:t>
      </w:r>
      <w:r>
        <w:rPr>
          <w:rFonts w:hint="eastAsia" w:ascii="仿宋_GB2312" w:hAnsi="仿宋_GB2312" w:eastAsia="仿宋_GB2312" w:cs="仿宋_GB2312"/>
          <w:color w:val="auto"/>
          <w:sz w:val="32"/>
          <w:szCs w:val="32"/>
          <w:highlight w:val="none"/>
          <w:vertAlign w:val="subscript"/>
          <w:lang w:eastAsia="zh-CN"/>
        </w:rPr>
        <w:t>经营主体</w:t>
      </w:r>
      <w:r>
        <w:rPr>
          <w:rFonts w:hint="eastAsia" w:ascii="仿宋_GB2312" w:hAnsi="仿宋_GB2312" w:eastAsia="仿宋_GB2312" w:cs="仿宋_GB2312"/>
          <w:color w:val="auto"/>
          <w:sz w:val="32"/>
          <w:szCs w:val="32"/>
          <w:highlight w:val="none"/>
          <w:vertAlign w:val="subscript"/>
        </w:rPr>
        <w:t>），t</w:t>
      </w:r>
      <w:r>
        <w:rPr>
          <w:rFonts w:hint="eastAsia" w:ascii="仿宋_GB2312" w:hAnsi="仿宋_GB2312" w:eastAsia="仿宋_GB2312" w:cs="仿宋_GB2312"/>
          <w:color w:val="auto"/>
          <w:sz w:val="32"/>
          <w:szCs w:val="32"/>
          <w:highlight w:val="none"/>
        </w:rPr>
        <w:t>=R</w:t>
      </w:r>
      <w:r>
        <w:rPr>
          <w:rFonts w:hint="eastAsia" w:ascii="仿宋_GB2312" w:hAnsi="仿宋_GB2312" w:eastAsia="仿宋_GB2312" w:cs="仿宋_GB2312"/>
          <w:color w:val="auto"/>
          <w:sz w:val="32"/>
          <w:szCs w:val="32"/>
          <w:highlight w:val="none"/>
          <w:vertAlign w:val="subscript"/>
        </w:rPr>
        <w:t>跨省不平衡资金（省内），t</w:t>
      </w: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bCs/>
          <w:color w:val="auto"/>
          <w:sz w:val="32"/>
          <w:szCs w:val="32"/>
          <w:highlight w:val="none"/>
          <w:vertAlign w:val="subscript"/>
        </w:rPr>
        <w:t>跨省中长期合约,t</w:t>
      </w: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bCs/>
          <w:color w:val="auto"/>
          <w:sz w:val="32"/>
          <w:szCs w:val="32"/>
          <w:highlight w:val="none"/>
          <w:vertAlign w:val="subscript"/>
        </w:rPr>
        <w:t>总跨省中长期合约,t</w:t>
      </w:r>
      <w:r>
        <w:rPr>
          <w:rFonts w:hint="eastAsia" w:ascii="仿宋_GB2312" w:hAnsi="仿宋_GB2312" w:eastAsia="仿宋_GB2312" w:cs="仿宋_GB2312"/>
          <w:bCs/>
          <w:color w:val="auto"/>
          <w:sz w:val="32"/>
          <w:szCs w:val="32"/>
          <w:highlight w:val="none"/>
          <w:lang w:val="en-US" w:eastAsia="zh-CN"/>
        </w:rPr>
        <w:t>)</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其中：</w:t>
      </w:r>
    </w:p>
    <w:p>
      <w:pPr>
        <w:pStyle w:val="35"/>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R</w:t>
      </w:r>
      <w:r>
        <w:rPr>
          <w:rFonts w:hint="eastAsia" w:ascii="仿宋_GB2312" w:hAnsi="仿宋_GB2312" w:eastAsia="仿宋_GB2312" w:cs="仿宋_GB2312"/>
          <w:color w:val="auto"/>
          <w:sz w:val="32"/>
          <w:szCs w:val="32"/>
          <w:highlight w:val="none"/>
          <w:vertAlign w:val="subscript"/>
        </w:rPr>
        <w:t>跨省不平衡资金（省内），t</w:t>
      </w:r>
      <w:r>
        <w:rPr>
          <w:rFonts w:hint="eastAsia" w:ascii="仿宋_GB2312" w:hAnsi="仿宋_GB2312" w:eastAsia="仿宋_GB2312" w:cs="仿宋_GB2312"/>
          <w:color w:val="auto"/>
          <w:sz w:val="32"/>
          <w:szCs w:val="32"/>
          <w:highlight w:val="none"/>
        </w:rPr>
        <w:t>为该送电类别T时段的省内分摊或分享的总不平衡资金；</w:t>
      </w:r>
    </w:p>
    <w:p>
      <w:pPr>
        <w:pStyle w:val="35"/>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bCs/>
          <w:color w:val="auto"/>
          <w:sz w:val="32"/>
          <w:szCs w:val="32"/>
          <w:highlight w:val="none"/>
          <w:vertAlign w:val="subscript"/>
        </w:rPr>
        <w:t>跨省中长期合约,t</w:t>
      </w:r>
      <w:r>
        <w:rPr>
          <w:rFonts w:hint="eastAsia" w:ascii="仿宋_GB2312" w:hAnsi="仿宋_GB2312" w:eastAsia="仿宋_GB2312" w:cs="仿宋_GB2312"/>
          <w:bCs/>
          <w:color w:val="auto"/>
          <w:sz w:val="32"/>
          <w:szCs w:val="32"/>
          <w:highlight w:val="none"/>
        </w:rPr>
        <w:t>为</w:t>
      </w:r>
      <w:r>
        <w:rPr>
          <w:rFonts w:hint="eastAsia" w:ascii="仿宋_GB2312" w:hAnsi="仿宋_GB2312" w:eastAsia="仿宋_GB2312" w:cs="仿宋_GB2312"/>
          <w:bCs/>
          <w:color w:val="auto"/>
          <w:sz w:val="32"/>
          <w:szCs w:val="32"/>
          <w:highlight w:val="none"/>
          <w:lang w:eastAsia="zh-CN"/>
        </w:rPr>
        <w:t>经营主体</w:t>
      </w:r>
      <w:r>
        <w:rPr>
          <w:rFonts w:hint="eastAsia" w:ascii="仿宋_GB2312" w:hAnsi="仿宋_GB2312" w:eastAsia="仿宋_GB2312" w:cs="仿宋_GB2312"/>
          <w:bCs/>
          <w:color w:val="auto"/>
          <w:sz w:val="32"/>
          <w:szCs w:val="32"/>
          <w:highlight w:val="none"/>
        </w:rPr>
        <w:t>该</w:t>
      </w:r>
      <w:r>
        <w:rPr>
          <w:rFonts w:hint="eastAsia" w:ascii="仿宋_GB2312" w:hAnsi="仿宋_GB2312" w:eastAsia="仿宋_GB2312" w:cs="仿宋_GB2312"/>
          <w:color w:val="auto"/>
          <w:sz w:val="32"/>
          <w:szCs w:val="32"/>
          <w:highlight w:val="none"/>
        </w:rPr>
        <w:t>送电类别T时段的跨省中长期合约电量；</w:t>
      </w:r>
    </w:p>
    <w:p>
      <w:pPr>
        <w:pStyle w:val="35"/>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bCs/>
          <w:color w:val="auto"/>
          <w:sz w:val="32"/>
          <w:szCs w:val="32"/>
          <w:highlight w:val="none"/>
          <w:vertAlign w:val="subscript"/>
        </w:rPr>
        <w:t>总跨省中长期合约,t</w:t>
      </w:r>
      <w:r>
        <w:rPr>
          <w:rFonts w:hint="eastAsia" w:ascii="仿宋_GB2312" w:hAnsi="仿宋_GB2312" w:eastAsia="仿宋_GB2312" w:cs="仿宋_GB2312"/>
          <w:bCs/>
          <w:color w:val="auto"/>
          <w:sz w:val="32"/>
          <w:szCs w:val="32"/>
          <w:highlight w:val="none"/>
        </w:rPr>
        <w:t>为省内参与该</w:t>
      </w:r>
      <w:r>
        <w:rPr>
          <w:rFonts w:hint="eastAsia" w:ascii="仿宋_GB2312" w:hAnsi="仿宋_GB2312" w:eastAsia="仿宋_GB2312" w:cs="仿宋_GB2312"/>
          <w:color w:val="auto"/>
          <w:sz w:val="32"/>
          <w:szCs w:val="32"/>
          <w:highlight w:val="none"/>
        </w:rPr>
        <w:t>送电类别所有</w:t>
      </w:r>
      <w:r>
        <w:rPr>
          <w:rFonts w:hint="eastAsia" w:ascii="仿宋_GB2312" w:hAnsi="仿宋_GB2312" w:eastAsia="仿宋_GB2312" w:cs="仿宋_GB2312"/>
          <w:bCs/>
          <w:color w:val="auto"/>
          <w:sz w:val="32"/>
          <w:szCs w:val="32"/>
          <w:highlight w:val="none"/>
          <w:lang w:eastAsia="zh-CN"/>
        </w:rPr>
        <w:t>经营主体</w:t>
      </w:r>
      <w:r>
        <w:rPr>
          <w:rFonts w:hint="eastAsia" w:ascii="仿宋_GB2312" w:hAnsi="仿宋_GB2312" w:eastAsia="仿宋_GB2312" w:cs="仿宋_GB2312"/>
          <w:color w:val="auto"/>
          <w:sz w:val="32"/>
          <w:szCs w:val="32"/>
          <w:highlight w:val="none"/>
        </w:rPr>
        <w:t>T时段的跨省中长期合约电量合计；</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bCs/>
          <w:color w:val="auto"/>
          <w:sz w:val="32"/>
          <w:szCs w:val="32"/>
          <w:highlight w:val="none"/>
          <w:vertAlign w:val="subscript"/>
        </w:rPr>
        <w:t>跨省不平衡资金</w:t>
      </w:r>
      <w:r>
        <w:rPr>
          <w:rFonts w:hint="eastAsia" w:ascii="仿宋_GB2312" w:hAnsi="仿宋_GB2312" w:eastAsia="仿宋_GB2312" w:cs="仿宋_GB2312"/>
          <w:color w:val="auto"/>
          <w:sz w:val="32"/>
          <w:szCs w:val="32"/>
          <w:highlight w:val="none"/>
          <w:vertAlign w:val="subscript"/>
        </w:rPr>
        <w:t>（</w:t>
      </w:r>
      <w:r>
        <w:rPr>
          <w:rFonts w:hint="eastAsia" w:ascii="仿宋_GB2312" w:hAnsi="仿宋_GB2312" w:eastAsia="仿宋_GB2312" w:cs="仿宋_GB2312"/>
          <w:color w:val="auto"/>
          <w:sz w:val="32"/>
          <w:szCs w:val="32"/>
          <w:highlight w:val="none"/>
          <w:vertAlign w:val="subscript"/>
          <w:lang w:eastAsia="zh-CN"/>
        </w:rPr>
        <w:t>经营主体</w:t>
      </w:r>
      <w:r>
        <w:rPr>
          <w:rFonts w:hint="eastAsia" w:ascii="仿宋_GB2312" w:hAnsi="仿宋_GB2312" w:eastAsia="仿宋_GB2312" w:cs="仿宋_GB2312"/>
          <w:color w:val="auto"/>
          <w:sz w:val="32"/>
          <w:szCs w:val="32"/>
          <w:highlight w:val="none"/>
          <w:vertAlign w:val="subscript"/>
        </w:rPr>
        <w:t>）</w:t>
      </w:r>
      <w:r>
        <w:rPr>
          <w:rFonts w:hint="eastAsia" w:ascii="仿宋_GB2312" w:hAnsi="仿宋_GB2312" w:eastAsia="仿宋_GB2312" w:cs="仿宋_GB2312"/>
          <w:bCs/>
          <w:color w:val="auto"/>
          <w:sz w:val="32"/>
          <w:szCs w:val="32"/>
          <w:highlight w:val="none"/>
        </w:rPr>
        <w:t>为</w:t>
      </w:r>
      <w:r>
        <w:rPr>
          <w:rFonts w:hint="eastAsia" w:ascii="仿宋_GB2312" w:hAnsi="仿宋_GB2312" w:eastAsia="仿宋_GB2312" w:cs="仿宋_GB2312"/>
          <w:bCs/>
          <w:color w:val="auto"/>
          <w:sz w:val="32"/>
          <w:szCs w:val="32"/>
          <w:highlight w:val="none"/>
          <w:lang w:eastAsia="zh-CN"/>
        </w:rPr>
        <w:t>经营主体</w:t>
      </w:r>
      <w:r>
        <w:rPr>
          <w:rFonts w:hint="eastAsia" w:ascii="仿宋_GB2312" w:hAnsi="仿宋_GB2312" w:eastAsia="仿宋_GB2312" w:cs="仿宋_GB2312"/>
          <w:bCs/>
          <w:color w:val="auto"/>
          <w:sz w:val="32"/>
          <w:szCs w:val="32"/>
          <w:highlight w:val="none"/>
        </w:rPr>
        <w:t>需承担的跨省结算不平衡资金分摊或分享费用。</w:t>
      </w:r>
    </w:p>
    <w:p>
      <w:pPr>
        <w:pStyle w:val="35"/>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7.4.3</w:t>
      </w:r>
      <w:r>
        <w:rPr>
          <w:rFonts w:hint="eastAsia" w:ascii="仿宋_GB2312" w:hAnsi="仿宋_GB2312" w:eastAsia="仿宋_GB2312" w:cs="仿宋_GB2312"/>
          <w:color w:val="auto"/>
          <w:sz w:val="32"/>
          <w:szCs w:val="32"/>
          <w:highlight w:val="none"/>
          <w:lang w:eastAsia="zh-CN"/>
        </w:rPr>
        <w:t>省间收益调节费用</w:t>
      </w:r>
      <w:r>
        <w:rPr>
          <w:rFonts w:hint="eastAsia" w:ascii="仿宋_GB2312" w:hAnsi="仿宋_GB2312" w:eastAsia="仿宋_GB2312" w:cs="仿宋_GB2312"/>
          <w:color w:val="auto"/>
          <w:sz w:val="32"/>
          <w:szCs w:val="32"/>
          <w:highlight w:val="none"/>
          <w:lang w:val="en-US" w:eastAsia="zh-CN"/>
        </w:rPr>
        <w:t>分摊或分享</w:t>
      </w:r>
    </w:p>
    <w:p>
      <w:pPr>
        <w:pStyle w:val="35"/>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lang w:eastAsia="zh-CN"/>
        </w:rPr>
      </w:pPr>
      <w:r>
        <w:rPr>
          <w:rFonts w:hint="eastAsia" w:ascii="仿宋_GB2312" w:hAnsi="仿宋_GB2312" w:eastAsia="仿宋_GB2312" w:cs="仿宋_GB2312"/>
          <w:color w:val="auto"/>
          <w:sz w:val="32"/>
          <w:szCs w:val="32"/>
          <w:highlight w:val="none"/>
        </w:rPr>
        <w:t>R</w:t>
      </w:r>
      <w:r>
        <w:rPr>
          <w:rFonts w:hint="eastAsia" w:ascii="仿宋_GB2312" w:hAnsi="仿宋_GB2312" w:eastAsia="仿宋_GB2312" w:cs="仿宋_GB2312"/>
          <w:color w:val="auto"/>
          <w:sz w:val="32"/>
          <w:szCs w:val="32"/>
          <w:highlight w:val="none"/>
          <w:vertAlign w:val="subscript"/>
          <w:lang w:eastAsia="zh-CN"/>
        </w:rPr>
        <w:t>省间收益调节费用</w:t>
      </w:r>
      <w:r>
        <w:rPr>
          <w:rFonts w:hint="eastAsia" w:ascii="仿宋_GB2312" w:hAnsi="仿宋_GB2312" w:eastAsia="仿宋_GB2312" w:cs="仿宋_GB2312"/>
          <w:color w:val="auto"/>
          <w:sz w:val="32"/>
          <w:szCs w:val="32"/>
          <w:highlight w:val="none"/>
          <w:vertAlign w:val="subscript"/>
        </w:rPr>
        <w:t>（</w:t>
      </w:r>
      <w:r>
        <w:rPr>
          <w:rFonts w:hint="eastAsia" w:ascii="仿宋_GB2312" w:hAnsi="仿宋_GB2312" w:eastAsia="仿宋_GB2312" w:cs="仿宋_GB2312"/>
          <w:color w:val="auto"/>
          <w:sz w:val="32"/>
          <w:szCs w:val="32"/>
          <w:highlight w:val="none"/>
          <w:vertAlign w:val="subscript"/>
          <w:lang w:eastAsia="zh-CN"/>
        </w:rPr>
        <w:t>经营主体</w:t>
      </w:r>
      <w:r>
        <w:rPr>
          <w:rFonts w:hint="eastAsia" w:ascii="仿宋_GB2312" w:hAnsi="仿宋_GB2312" w:eastAsia="仿宋_GB2312" w:cs="仿宋_GB2312"/>
          <w:color w:val="auto"/>
          <w:sz w:val="32"/>
          <w:szCs w:val="32"/>
          <w:highlight w:val="none"/>
          <w:vertAlign w:val="subscript"/>
        </w:rPr>
        <w:t>），t</w:t>
      </w:r>
      <w:r>
        <w:rPr>
          <w:rFonts w:hint="eastAsia" w:ascii="仿宋_GB2312" w:hAnsi="仿宋_GB2312" w:eastAsia="仿宋_GB2312" w:cs="仿宋_GB2312"/>
          <w:color w:val="auto"/>
          <w:sz w:val="32"/>
          <w:szCs w:val="32"/>
          <w:highlight w:val="none"/>
        </w:rPr>
        <w:t>=R</w:t>
      </w:r>
      <w:r>
        <w:rPr>
          <w:rFonts w:hint="eastAsia" w:ascii="仿宋_GB2312" w:hAnsi="仿宋_GB2312" w:eastAsia="仿宋_GB2312" w:cs="仿宋_GB2312"/>
          <w:color w:val="auto"/>
          <w:sz w:val="32"/>
          <w:szCs w:val="32"/>
          <w:highlight w:val="none"/>
          <w:vertAlign w:val="subscript"/>
          <w:lang w:eastAsia="zh-CN"/>
        </w:rPr>
        <w:t>省间收益调节费用</w:t>
      </w:r>
      <w:r>
        <w:rPr>
          <w:rFonts w:hint="eastAsia" w:ascii="仿宋_GB2312" w:hAnsi="仿宋_GB2312" w:eastAsia="仿宋_GB2312" w:cs="仿宋_GB2312"/>
          <w:color w:val="auto"/>
          <w:sz w:val="32"/>
          <w:szCs w:val="32"/>
          <w:highlight w:val="none"/>
          <w:vertAlign w:val="subscript"/>
        </w:rPr>
        <w:t>（省内），t</w:t>
      </w: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bCs/>
          <w:color w:val="auto"/>
          <w:sz w:val="32"/>
          <w:szCs w:val="32"/>
          <w:highlight w:val="none"/>
          <w:vertAlign w:val="subscript"/>
        </w:rPr>
        <w:t>跨省中长期合约,t</w:t>
      </w: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bCs/>
          <w:color w:val="auto"/>
          <w:sz w:val="32"/>
          <w:szCs w:val="32"/>
          <w:highlight w:val="none"/>
          <w:vertAlign w:val="subscript"/>
        </w:rPr>
        <w:t>总跨省中长期合约,t</w:t>
      </w:r>
      <w:r>
        <w:rPr>
          <w:rFonts w:hint="eastAsia" w:ascii="仿宋_GB2312" w:hAnsi="仿宋_GB2312" w:eastAsia="仿宋_GB2312" w:cs="仿宋_GB2312"/>
          <w:bCs/>
          <w:color w:val="auto"/>
          <w:sz w:val="32"/>
          <w:szCs w:val="32"/>
          <w:highlight w:val="none"/>
          <w:lang w:val="en-US" w:eastAsia="zh-CN"/>
        </w:rPr>
        <w:t>)</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其中：</w:t>
      </w:r>
    </w:p>
    <w:p>
      <w:pPr>
        <w:pStyle w:val="35"/>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R</w:t>
      </w:r>
      <w:r>
        <w:rPr>
          <w:rFonts w:hint="eastAsia" w:ascii="仿宋_GB2312" w:hAnsi="仿宋_GB2312" w:eastAsia="仿宋_GB2312" w:cs="仿宋_GB2312"/>
          <w:color w:val="auto"/>
          <w:sz w:val="32"/>
          <w:szCs w:val="32"/>
          <w:highlight w:val="none"/>
          <w:vertAlign w:val="subscript"/>
          <w:lang w:eastAsia="zh-CN"/>
        </w:rPr>
        <w:t>省间收益调节费用</w:t>
      </w:r>
      <w:r>
        <w:rPr>
          <w:rFonts w:hint="eastAsia" w:ascii="仿宋_GB2312" w:hAnsi="仿宋_GB2312" w:eastAsia="仿宋_GB2312" w:cs="仿宋_GB2312"/>
          <w:color w:val="auto"/>
          <w:sz w:val="32"/>
          <w:szCs w:val="32"/>
          <w:highlight w:val="none"/>
          <w:vertAlign w:val="subscript"/>
        </w:rPr>
        <w:t>（省内），t</w:t>
      </w:r>
      <w:r>
        <w:rPr>
          <w:rFonts w:hint="eastAsia" w:ascii="仿宋_GB2312" w:hAnsi="仿宋_GB2312" w:eastAsia="仿宋_GB2312" w:cs="仿宋_GB2312"/>
          <w:color w:val="auto"/>
          <w:sz w:val="32"/>
          <w:szCs w:val="32"/>
          <w:highlight w:val="none"/>
        </w:rPr>
        <w:t>为该送电类别T时段的省内分摊或分享的</w:t>
      </w:r>
      <w:r>
        <w:rPr>
          <w:rFonts w:hint="eastAsia" w:ascii="仿宋_GB2312" w:hAnsi="仿宋_GB2312" w:eastAsia="仿宋_GB2312" w:cs="仿宋_GB2312"/>
          <w:color w:val="auto"/>
          <w:sz w:val="32"/>
          <w:szCs w:val="32"/>
          <w:highlight w:val="none"/>
          <w:lang w:eastAsia="zh-CN"/>
        </w:rPr>
        <w:t>省间收益调节费用</w:t>
      </w:r>
      <w:r>
        <w:rPr>
          <w:rFonts w:hint="eastAsia" w:ascii="仿宋_GB2312" w:hAnsi="仿宋_GB2312" w:eastAsia="仿宋_GB2312" w:cs="仿宋_GB2312"/>
          <w:color w:val="auto"/>
          <w:sz w:val="32"/>
          <w:szCs w:val="32"/>
          <w:highlight w:val="none"/>
        </w:rPr>
        <w:t>；</w:t>
      </w:r>
    </w:p>
    <w:p>
      <w:pPr>
        <w:pStyle w:val="35"/>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bCs/>
          <w:color w:val="auto"/>
          <w:sz w:val="32"/>
          <w:szCs w:val="32"/>
          <w:highlight w:val="none"/>
          <w:vertAlign w:val="subscript"/>
        </w:rPr>
        <w:t>跨省中长期合约,t</w:t>
      </w:r>
      <w:r>
        <w:rPr>
          <w:rFonts w:hint="eastAsia" w:ascii="仿宋_GB2312" w:hAnsi="仿宋_GB2312" w:eastAsia="仿宋_GB2312" w:cs="仿宋_GB2312"/>
          <w:bCs/>
          <w:color w:val="auto"/>
          <w:sz w:val="32"/>
          <w:szCs w:val="32"/>
          <w:highlight w:val="none"/>
        </w:rPr>
        <w:t>为</w:t>
      </w:r>
      <w:r>
        <w:rPr>
          <w:rFonts w:hint="eastAsia" w:ascii="仿宋_GB2312" w:hAnsi="仿宋_GB2312" w:eastAsia="仿宋_GB2312" w:cs="仿宋_GB2312"/>
          <w:bCs/>
          <w:color w:val="auto"/>
          <w:sz w:val="32"/>
          <w:szCs w:val="32"/>
          <w:highlight w:val="none"/>
          <w:lang w:eastAsia="zh-CN"/>
        </w:rPr>
        <w:t>经营主体</w:t>
      </w:r>
      <w:r>
        <w:rPr>
          <w:rFonts w:hint="eastAsia" w:ascii="仿宋_GB2312" w:hAnsi="仿宋_GB2312" w:eastAsia="仿宋_GB2312" w:cs="仿宋_GB2312"/>
          <w:bCs/>
          <w:color w:val="auto"/>
          <w:sz w:val="32"/>
          <w:szCs w:val="32"/>
          <w:highlight w:val="none"/>
        </w:rPr>
        <w:t>该</w:t>
      </w:r>
      <w:r>
        <w:rPr>
          <w:rFonts w:hint="eastAsia" w:ascii="仿宋_GB2312" w:hAnsi="仿宋_GB2312" w:eastAsia="仿宋_GB2312" w:cs="仿宋_GB2312"/>
          <w:color w:val="auto"/>
          <w:sz w:val="32"/>
          <w:szCs w:val="32"/>
          <w:highlight w:val="none"/>
        </w:rPr>
        <w:t>送电类别T时段的跨省中长期合约电量；</w:t>
      </w:r>
    </w:p>
    <w:p>
      <w:pPr>
        <w:pStyle w:val="35"/>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rPr>
        <w:t>Q</w:t>
      </w:r>
      <w:r>
        <w:rPr>
          <w:rFonts w:hint="eastAsia" w:ascii="仿宋_GB2312" w:hAnsi="仿宋_GB2312" w:eastAsia="仿宋_GB2312" w:cs="仿宋_GB2312"/>
          <w:bCs/>
          <w:color w:val="auto"/>
          <w:sz w:val="32"/>
          <w:szCs w:val="32"/>
          <w:highlight w:val="none"/>
          <w:vertAlign w:val="subscript"/>
        </w:rPr>
        <w:t>总跨省中长期合约,t</w:t>
      </w:r>
      <w:r>
        <w:rPr>
          <w:rFonts w:hint="eastAsia" w:ascii="仿宋_GB2312" w:hAnsi="仿宋_GB2312" w:eastAsia="仿宋_GB2312" w:cs="仿宋_GB2312"/>
          <w:bCs/>
          <w:color w:val="auto"/>
          <w:sz w:val="32"/>
          <w:szCs w:val="32"/>
          <w:highlight w:val="none"/>
        </w:rPr>
        <w:t>为省内参与该</w:t>
      </w:r>
      <w:r>
        <w:rPr>
          <w:rFonts w:hint="eastAsia" w:ascii="仿宋_GB2312" w:hAnsi="仿宋_GB2312" w:eastAsia="仿宋_GB2312" w:cs="仿宋_GB2312"/>
          <w:color w:val="auto"/>
          <w:sz w:val="32"/>
          <w:szCs w:val="32"/>
          <w:highlight w:val="none"/>
        </w:rPr>
        <w:t>送电类别所有</w:t>
      </w:r>
      <w:r>
        <w:rPr>
          <w:rFonts w:hint="eastAsia" w:ascii="仿宋_GB2312" w:hAnsi="仿宋_GB2312" w:eastAsia="仿宋_GB2312" w:cs="仿宋_GB2312"/>
          <w:bCs/>
          <w:color w:val="auto"/>
          <w:sz w:val="32"/>
          <w:szCs w:val="32"/>
          <w:highlight w:val="none"/>
          <w:lang w:eastAsia="zh-CN"/>
        </w:rPr>
        <w:t>经营主体</w:t>
      </w:r>
      <w:r>
        <w:rPr>
          <w:rFonts w:hint="eastAsia" w:ascii="仿宋_GB2312" w:hAnsi="仿宋_GB2312" w:eastAsia="仿宋_GB2312" w:cs="仿宋_GB2312"/>
          <w:color w:val="auto"/>
          <w:sz w:val="32"/>
          <w:szCs w:val="32"/>
          <w:highlight w:val="none"/>
        </w:rPr>
        <w:t>T时段的跨省中长期合约电量合计；</w:t>
      </w:r>
    </w:p>
    <w:p>
      <w:pPr>
        <w:pStyle w:val="31"/>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R</w:t>
      </w:r>
      <w:r>
        <w:rPr>
          <w:rFonts w:hint="eastAsia" w:ascii="仿宋_GB2312" w:hAnsi="仿宋_GB2312" w:eastAsia="仿宋_GB2312" w:cs="仿宋_GB2312"/>
          <w:color w:val="auto"/>
          <w:sz w:val="32"/>
          <w:szCs w:val="32"/>
          <w:highlight w:val="none"/>
          <w:vertAlign w:val="subscript"/>
          <w:lang w:eastAsia="zh-CN"/>
        </w:rPr>
        <w:t>省间收益调节费用</w:t>
      </w:r>
      <w:r>
        <w:rPr>
          <w:rFonts w:hint="eastAsia" w:ascii="仿宋_GB2312" w:hAnsi="仿宋_GB2312" w:eastAsia="仿宋_GB2312" w:cs="仿宋_GB2312"/>
          <w:color w:val="auto"/>
          <w:sz w:val="32"/>
          <w:szCs w:val="32"/>
          <w:highlight w:val="none"/>
          <w:vertAlign w:val="subscript"/>
        </w:rPr>
        <w:t>（</w:t>
      </w:r>
      <w:r>
        <w:rPr>
          <w:rFonts w:hint="eastAsia" w:ascii="仿宋_GB2312" w:hAnsi="仿宋_GB2312" w:eastAsia="仿宋_GB2312" w:cs="仿宋_GB2312"/>
          <w:color w:val="auto"/>
          <w:sz w:val="32"/>
          <w:szCs w:val="32"/>
          <w:highlight w:val="none"/>
          <w:vertAlign w:val="subscript"/>
          <w:lang w:eastAsia="zh-CN"/>
        </w:rPr>
        <w:t>经营主体</w:t>
      </w:r>
      <w:r>
        <w:rPr>
          <w:rFonts w:hint="eastAsia" w:ascii="仿宋_GB2312" w:hAnsi="仿宋_GB2312" w:eastAsia="仿宋_GB2312" w:cs="仿宋_GB2312"/>
          <w:color w:val="auto"/>
          <w:sz w:val="32"/>
          <w:szCs w:val="32"/>
          <w:highlight w:val="none"/>
          <w:vertAlign w:val="subscript"/>
        </w:rPr>
        <w:t>）</w:t>
      </w:r>
      <w:r>
        <w:rPr>
          <w:rFonts w:hint="eastAsia" w:ascii="仿宋_GB2312" w:hAnsi="仿宋_GB2312" w:eastAsia="仿宋_GB2312" w:cs="仿宋_GB2312"/>
          <w:bCs/>
          <w:color w:val="auto"/>
          <w:sz w:val="32"/>
          <w:szCs w:val="32"/>
          <w:highlight w:val="none"/>
        </w:rPr>
        <w:t>为</w:t>
      </w:r>
      <w:r>
        <w:rPr>
          <w:rFonts w:hint="eastAsia" w:ascii="仿宋_GB2312" w:hAnsi="仿宋_GB2312" w:eastAsia="仿宋_GB2312" w:cs="仿宋_GB2312"/>
          <w:bCs/>
          <w:color w:val="auto"/>
          <w:sz w:val="32"/>
          <w:szCs w:val="32"/>
          <w:highlight w:val="none"/>
          <w:lang w:eastAsia="zh-CN"/>
        </w:rPr>
        <w:t>经营主体</w:t>
      </w:r>
      <w:r>
        <w:rPr>
          <w:rFonts w:hint="eastAsia" w:ascii="仿宋_GB2312" w:hAnsi="仿宋_GB2312" w:eastAsia="仿宋_GB2312" w:cs="仿宋_GB2312"/>
          <w:bCs/>
          <w:color w:val="auto"/>
          <w:sz w:val="32"/>
          <w:szCs w:val="32"/>
          <w:highlight w:val="none"/>
        </w:rPr>
        <w:t>需承担的</w:t>
      </w:r>
      <w:r>
        <w:rPr>
          <w:rFonts w:hint="eastAsia" w:ascii="仿宋_GB2312" w:hAnsi="仿宋_GB2312" w:eastAsia="仿宋_GB2312" w:cs="仿宋_GB2312"/>
          <w:color w:val="auto"/>
          <w:sz w:val="32"/>
          <w:szCs w:val="32"/>
          <w:highlight w:val="none"/>
          <w:lang w:eastAsia="zh-CN"/>
        </w:rPr>
        <w:t>省间收益调节费用</w:t>
      </w:r>
      <w:r>
        <w:rPr>
          <w:rFonts w:hint="eastAsia" w:ascii="仿宋_GB2312" w:hAnsi="仿宋_GB2312" w:eastAsia="仿宋_GB2312" w:cs="仿宋_GB2312"/>
          <w:bCs/>
          <w:color w:val="auto"/>
          <w:sz w:val="32"/>
          <w:szCs w:val="32"/>
          <w:highlight w:val="none"/>
        </w:rPr>
        <w:t>分摊或分享费用。</w:t>
      </w:r>
    </w:p>
    <w:p>
      <w:pPr>
        <w:pStyle w:val="65"/>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黑体" w:hAnsi="黑体" w:eastAsia="黑体" w:cs="黑体"/>
          <w:color w:val="auto"/>
          <w:sz w:val="32"/>
          <w:szCs w:val="32"/>
          <w:highlight w:val="none"/>
          <w:lang w:val="zh-CN"/>
        </w:rPr>
      </w:pPr>
      <w:r>
        <w:rPr>
          <w:rFonts w:hint="eastAsia" w:ascii="黑体" w:hAnsi="黑体" w:eastAsia="黑体" w:cs="黑体"/>
          <w:color w:val="auto"/>
          <w:sz w:val="32"/>
          <w:szCs w:val="32"/>
          <w:highlight w:val="none"/>
          <w:lang w:val="en-US" w:eastAsia="zh-CN"/>
        </w:rPr>
        <w:t>8</w:t>
      </w:r>
      <w:r>
        <w:rPr>
          <w:rFonts w:hint="eastAsia" w:ascii="黑体" w:hAnsi="黑体" w:eastAsia="黑体" w:cs="黑体"/>
          <w:color w:val="auto"/>
          <w:sz w:val="32"/>
          <w:szCs w:val="32"/>
          <w:highlight w:val="none"/>
          <w:lang w:val="zh-CN"/>
        </w:rPr>
        <w:t>退补管理</w:t>
      </w:r>
    </w:p>
    <w:p>
      <w:pPr>
        <w:pStyle w:val="66"/>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8.1</w:t>
      </w:r>
      <w:r>
        <w:rPr>
          <w:rFonts w:hint="eastAsia" w:ascii="仿宋_GB2312" w:hAnsi="仿宋_GB2312" w:eastAsia="仿宋_GB2312" w:cs="仿宋_GB2312"/>
          <w:color w:val="auto"/>
          <w:sz w:val="32"/>
          <w:szCs w:val="32"/>
          <w:highlight w:val="none"/>
        </w:rPr>
        <w:t>由于历史发用电量计量差错等原因需要进行电费退补调整的，由交易中心根据供电企业推送的修正电量等结算准备数据，重新计算有关</w:t>
      </w:r>
      <w:r>
        <w:rPr>
          <w:rFonts w:hint="eastAsia" w:ascii="仿宋_GB2312" w:hAnsi="仿宋_GB2312" w:eastAsia="仿宋_GB2312" w:cs="仿宋_GB2312"/>
          <w:color w:val="auto"/>
          <w:sz w:val="32"/>
          <w:szCs w:val="32"/>
          <w:highlight w:val="none"/>
          <w:lang w:eastAsia="zh-CN"/>
        </w:rPr>
        <w:t>经营主体</w:t>
      </w:r>
      <w:r>
        <w:rPr>
          <w:rFonts w:hint="eastAsia" w:ascii="仿宋_GB2312" w:hAnsi="仿宋_GB2312" w:eastAsia="仿宋_GB2312" w:cs="仿宋_GB2312"/>
          <w:color w:val="auto"/>
          <w:sz w:val="32"/>
          <w:szCs w:val="32"/>
          <w:highlight w:val="none"/>
        </w:rPr>
        <w:t>的结算电费。结算运行期间对于档案差错、电量差错、考核豁免进行退补调整，除此以外的其他</w:t>
      </w:r>
      <w:r>
        <w:rPr>
          <w:rFonts w:hint="eastAsia" w:ascii="仿宋_GB2312" w:hAnsi="仿宋_GB2312" w:eastAsia="仿宋_GB2312" w:cs="仿宋_GB2312"/>
          <w:color w:val="auto"/>
          <w:sz w:val="32"/>
          <w:szCs w:val="32"/>
          <w:highlight w:val="none"/>
          <w:lang w:eastAsia="zh-CN"/>
        </w:rPr>
        <w:t>情况不做</w:t>
      </w:r>
      <w:r>
        <w:rPr>
          <w:rFonts w:hint="eastAsia" w:ascii="仿宋_GB2312" w:hAnsi="仿宋_GB2312" w:eastAsia="仿宋_GB2312" w:cs="仿宋_GB2312"/>
          <w:color w:val="auto"/>
          <w:sz w:val="32"/>
          <w:szCs w:val="32"/>
          <w:highlight w:val="none"/>
        </w:rPr>
        <w:t>退补调整，退补调整追溯有效期为 12 个月。逾期超过 12个月的电量差错，由电网企业按照差错月份的代理购电价格进行差错退补</w:t>
      </w:r>
      <w:r>
        <w:rPr>
          <w:rFonts w:hint="eastAsia" w:ascii="仿宋_GB2312" w:hAnsi="仿宋_GB2312" w:eastAsia="仿宋_GB2312" w:cs="仿宋_GB2312"/>
          <w:color w:val="auto"/>
          <w:sz w:val="32"/>
          <w:szCs w:val="32"/>
          <w:highlight w:val="none"/>
          <w:lang w:eastAsia="zh-CN"/>
        </w:rPr>
        <w:t>。</w:t>
      </w:r>
    </w:p>
    <w:p>
      <w:pPr>
        <w:pStyle w:val="66"/>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8.2</w:t>
      </w:r>
      <w:r>
        <w:rPr>
          <w:rFonts w:hint="eastAsia" w:ascii="仿宋_GB2312" w:hAnsi="仿宋_GB2312" w:eastAsia="仿宋_GB2312" w:cs="仿宋_GB2312"/>
          <w:color w:val="auto"/>
          <w:sz w:val="32"/>
          <w:szCs w:val="32"/>
          <w:highlight w:val="none"/>
        </w:rPr>
        <w:t>月度结算前发生的当月电量差错或政策调整退补，根据供电企业推送的修正电量，按日重新计算后并入当月结算依据。</w:t>
      </w:r>
    </w:p>
    <w:p>
      <w:pPr>
        <w:pStyle w:val="66"/>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8.3</w:t>
      </w:r>
      <w:r>
        <w:rPr>
          <w:rFonts w:hint="eastAsia" w:ascii="仿宋_GB2312" w:hAnsi="仿宋_GB2312" w:eastAsia="仿宋_GB2312" w:cs="仿宋_GB2312"/>
          <w:color w:val="auto"/>
          <w:sz w:val="32"/>
          <w:szCs w:val="32"/>
          <w:highlight w:val="none"/>
        </w:rPr>
        <w:t>实际用电主体变更、暂停、销户等业扩变更和计量故障等业务涉及退补电量时启动非周期暂收，电网企业暂按当月电网企业代理购电工商业用户电价1.2倍计费标准计算，月度市场交易结算时多退少补。</w:t>
      </w:r>
    </w:p>
    <w:p>
      <w:pPr>
        <w:pStyle w:val="66"/>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8.4</w:t>
      </w:r>
      <w:r>
        <w:rPr>
          <w:rFonts w:hint="eastAsia" w:ascii="仿宋_GB2312" w:hAnsi="仿宋_GB2312" w:eastAsia="仿宋_GB2312" w:cs="仿宋_GB2312"/>
          <w:color w:val="auto"/>
          <w:sz w:val="32"/>
          <w:szCs w:val="32"/>
          <w:highlight w:val="none"/>
        </w:rPr>
        <w:t>对于跨月电量差错退补事项，按照以下规则处理：</w:t>
      </w:r>
    </w:p>
    <w:p>
      <w:pPr>
        <w:pStyle w:val="67"/>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8.4.1</w:t>
      </w:r>
      <w:r>
        <w:rPr>
          <w:rFonts w:hint="eastAsia" w:ascii="仿宋_GB2312" w:hAnsi="仿宋_GB2312" w:eastAsia="仿宋_GB2312" w:cs="仿宋_GB2312"/>
          <w:color w:val="auto"/>
          <w:sz w:val="32"/>
          <w:szCs w:val="32"/>
          <w:highlight w:val="none"/>
        </w:rPr>
        <w:t>对相关机组分时差错电量按差错月份机组实时市场分时价格进行退补结算；对相关用户侧分时差错电量按差错月份用户侧实时市场统一结算点分时价格进行退补结算。</w:t>
      </w:r>
    </w:p>
    <w:p>
      <w:pPr>
        <w:pStyle w:val="67"/>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8.4.2</w:t>
      </w:r>
      <w:r>
        <w:rPr>
          <w:rFonts w:hint="eastAsia" w:ascii="仿宋_GB2312" w:hAnsi="仿宋_GB2312" w:eastAsia="仿宋_GB2312" w:cs="仿宋_GB2312"/>
          <w:color w:val="auto"/>
          <w:sz w:val="32"/>
          <w:szCs w:val="32"/>
          <w:highlight w:val="none"/>
        </w:rPr>
        <w:t>根据零售用户差错月份的零售合同重新计算电费，与差错月份已结电费的差额，作为零售用户退补电费。</w:t>
      </w:r>
    </w:p>
    <w:p>
      <w:pPr>
        <w:pStyle w:val="67"/>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8.4.3</w:t>
      </w:r>
      <w:r>
        <w:rPr>
          <w:rFonts w:hint="eastAsia" w:ascii="仿宋_GB2312" w:hAnsi="仿宋_GB2312" w:eastAsia="仿宋_GB2312" w:cs="仿宋_GB2312"/>
          <w:color w:val="auto"/>
          <w:sz w:val="32"/>
          <w:szCs w:val="32"/>
          <w:highlight w:val="none"/>
        </w:rPr>
        <w:t>售电公司批发侧退补电费与其代理零售用户退补电费的差额，作为售电公司的退补电费。</w:t>
      </w:r>
    </w:p>
    <w:p>
      <w:pPr>
        <w:pStyle w:val="67"/>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8.4.4</w:t>
      </w:r>
      <w:r>
        <w:rPr>
          <w:rFonts w:hint="eastAsia" w:ascii="仿宋_GB2312" w:hAnsi="仿宋_GB2312" w:eastAsia="仿宋_GB2312" w:cs="仿宋_GB2312"/>
          <w:color w:val="auto"/>
          <w:sz w:val="32"/>
          <w:szCs w:val="32"/>
          <w:highlight w:val="none"/>
        </w:rPr>
        <w:t>上述各项退补电费纳入退补实施月份一并结算；退补造成的不平衡纳入</w:t>
      </w:r>
      <w:r>
        <w:rPr>
          <w:rFonts w:hint="eastAsia" w:ascii="仿宋_GB2312" w:hAnsi="仿宋_GB2312" w:eastAsia="仿宋_GB2312" w:cs="仿宋_GB2312"/>
          <w:color w:val="auto"/>
          <w:sz w:val="32"/>
          <w:szCs w:val="32"/>
          <w:highlight w:val="none"/>
          <w:lang w:eastAsia="zh-CN"/>
        </w:rPr>
        <w:t>年度偏差清算，由</w:t>
      </w:r>
      <w:r>
        <w:rPr>
          <w:rFonts w:hint="eastAsia" w:ascii="仿宋_GB2312" w:hAnsi="仿宋_GB2312" w:eastAsia="仿宋_GB2312" w:cs="仿宋_GB2312"/>
          <w:color w:val="auto"/>
          <w:sz w:val="32"/>
          <w:szCs w:val="32"/>
          <w:highlight w:val="none"/>
        </w:rPr>
        <w:t>市场发电侧按上网</w:t>
      </w:r>
      <w:r>
        <w:rPr>
          <w:rFonts w:hint="eastAsia" w:ascii="仿宋_GB2312" w:hAnsi="仿宋_GB2312" w:eastAsia="仿宋_GB2312" w:cs="仿宋_GB2312"/>
          <w:color w:val="auto"/>
          <w:sz w:val="32"/>
          <w:szCs w:val="32"/>
          <w:highlight w:val="none"/>
          <w:lang w:eastAsia="zh-CN"/>
        </w:rPr>
        <w:t>结算</w:t>
      </w:r>
      <w:r>
        <w:rPr>
          <w:rFonts w:hint="eastAsia" w:ascii="仿宋_GB2312" w:hAnsi="仿宋_GB2312" w:eastAsia="仿宋_GB2312" w:cs="仿宋_GB2312"/>
          <w:color w:val="auto"/>
          <w:sz w:val="32"/>
          <w:szCs w:val="32"/>
          <w:highlight w:val="none"/>
        </w:rPr>
        <w:t>电量（已扣减该时段的优先计划电量）比例分摊或分享。</w:t>
      </w:r>
    </w:p>
    <w:p>
      <w:pPr>
        <w:pStyle w:val="67"/>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8.4.5</w:t>
      </w:r>
      <w:r>
        <w:rPr>
          <w:rFonts w:hint="eastAsia" w:ascii="仿宋_GB2312" w:hAnsi="仿宋_GB2312" w:eastAsia="仿宋_GB2312" w:cs="仿宋_GB2312"/>
          <w:color w:val="auto"/>
          <w:sz w:val="32"/>
          <w:szCs w:val="32"/>
          <w:highlight w:val="none"/>
        </w:rPr>
        <w:t>用户侧或发电侧在一个自然年内，发生差错月份分时差错电量绝对值累计值大于用户侧或发电侧发生差错月份总电量的2%时，该差错月份电网企业结算的代购市场电量费用应做联动调整结算。</w:t>
      </w:r>
    </w:p>
    <w:p>
      <w:pPr>
        <w:pStyle w:val="38"/>
        <w:keepNext w:val="0"/>
        <w:keepLines w:val="0"/>
        <w:pageBreakBefore w:val="0"/>
        <w:widowControl w:val="0"/>
        <w:numPr>
          <w:ilvl w:val="0"/>
          <w:numId w:val="0"/>
        </w:numPr>
        <w:tabs>
          <w:tab w:val="left" w:pos="540"/>
        </w:tabs>
        <w:kinsoku/>
        <w:wordWrap/>
        <w:overflowPunct/>
        <w:topLinePunct w:val="0"/>
        <w:autoSpaceDE/>
        <w:autoSpaceDN/>
        <w:bidi w:val="0"/>
        <w:adjustRightInd/>
        <w:snapToGrid/>
        <w:spacing w:beforeLines="0" w:line="560" w:lineRule="exact"/>
        <w:ind w:left="0" w:firstLine="640" w:firstLineChars="200"/>
        <w:textAlignment w:val="auto"/>
        <w:outlineLvl w:val="9"/>
        <w:rPr>
          <w:rFonts w:hint="eastAsia" w:ascii="仿宋_GB2312" w:hAnsi="仿宋_GB2312" w:eastAsia="仿宋_GB2312" w:cs="仿宋_GB2312"/>
          <w:b w:val="0"/>
          <w:bCs w:val="0"/>
          <w:color w:val="auto"/>
          <w:kern w:val="2"/>
          <w:sz w:val="32"/>
          <w:szCs w:val="32"/>
          <w:highlight w:val="none"/>
        </w:rPr>
      </w:pPr>
      <w:r>
        <w:rPr>
          <w:rFonts w:hint="eastAsia" w:ascii="仿宋_GB2312" w:hAnsi="仿宋_GB2312" w:eastAsia="仿宋_GB2312" w:cs="仿宋_GB2312"/>
          <w:b w:val="0"/>
          <w:bCs w:val="0"/>
          <w:color w:val="auto"/>
          <w:kern w:val="2"/>
          <w:sz w:val="32"/>
          <w:szCs w:val="32"/>
          <w:highlight w:val="none"/>
        </w:rPr>
        <w:t>电网企业代购市场电量费用联动调整金额计算公式为：</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highlight w:val="none"/>
          <w:vertAlign w:val="subscript"/>
        </w:rPr>
      </w:pPr>
      <w:r>
        <w:rPr>
          <w:rFonts w:hint="eastAsia" w:ascii="仿宋_GB2312" w:hAnsi="仿宋_GB2312" w:eastAsia="仿宋_GB2312" w:cs="仿宋_GB2312"/>
          <w:color w:val="auto"/>
          <w:sz w:val="32"/>
          <w:szCs w:val="32"/>
          <w:highlight w:val="none"/>
        </w:rPr>
        <w:t>C</w:t>
      </w:r>
      <w:r>
        <w:rPr>
          <w:rFonts w:hint="eastAsia" w:ascii="仿宋_GB2312" w:hAnsi="仿宋_GB2312" w:eastAsia="仿宋_GB2312" w:cs="仿宋_GB2312"/>
          <w:color w:val="auto"/>
          <w:sz w:val="32"/>
          <w:szCs w:val="32"/>
          <w:highlight w:val="none"/>
          <w:vertAlign w:val="subscript"/>
        </w:rPr>
        <w:t>联动退补，t</w:t>
      </w:r>
      <w:r>
        <w:rPr>
          <w:rFonts w:hint="eastAsia" w:ascii="仿宋_GB2312" w:hAnsi="仿宋_GB2312" w:eastAsia="仿宋_GB2312" w:cs="仿宋_GB2312"/>
          <w:color w:val="auto"/>
          <w:sz w:val="32"/>
          <w:szCs w:val="32"/>
          <w:highlight w:val="none"/>
        </w:rPr>
        <w:t>=Q</w:t>
      </w:r>
      <w:r>
        <w:rPr>
          <w:rFonts w:hint="eastAsia" w:ascii="仿宋_GB2312" w:hAnsi="仿宋_GB2312" w:eastAsia="仿宋_GB2312" w:cs="仿宋_GB2312"/>
          <w:color w:val="auto"/>
          <w:sz w:val="32"/>
          <w:szCs w:val="32"/>
          <w:highlight w:val="none"/>
          <w:vertAlign w:val="subscript"/>
        </w:rPr>
        <w:t>退补，t</w:t>
      </w:r>
      <w:r>
        <w:rPr>
          <w:rFonts w:hint="eastAsia" w:ascii="仿宋_GB2312" w:hAnsi="仿宋_GB2312" w:eastAsia="仿宋_GB2312" w:cs="仿宋_GB2312"/>
          <w:color w:val="auto"/>
          <w:sz w:val="32"/>
          <w:szCs w:val="32"/>
          <w:highlight w:val="none"/>
        </w:rPr>
        <w:t>×P</w:t>
      </w:r>
      <w:r>
        <w:rPr>
          <w:rFonts w:hint="eastAsia" w:ascii="仿宋_GB2312" w:hAnsi="仿宋_GB2312" w:eastAsia="仿宋_GB2312" w:cs="仿宋_GB2312"/>
          <w:color w:val="auto"/>
          <w:sz w:val="32"/>
          <w:szCs w:val="32"/>
          <w:highlight w:val="none"/>
          <w:vertAlign w:val="subscript"/>
        </w:rPr>
        <w:t>日前统一,t</w:t>
      </w:r>
    </w:p>
    <w:p>
      <w:pPr>
        <w:pStyle w:val="38"/>
        <w:keepNext w:val="0"/>
        <w:keepLines w:val="0"/>
        <w:pageBreakBefore w:val="0"/>
        <w:widowControl w:val="0"/>
        <w:numPr>
          <w:ilvl w:val="0"/>
          <w:numId w:val="0"/>
        </w:numPr>
        <w:tabs>
          <w:tab w:val="left" w:pos="540"/>
        </w:tabs>
        <w:kinsoku/>
        <w:wordWrap/>
        <w:overflowPunct/>
        <w:topLinePunct w:val="0"/>
        <w:autoSpaceDE/>
        <w:autoSpaceDN/>
        <w:bidi w:val="0"/>
        <w:adjustRightInd/>
        <w:snapToGrid/>
        <w:spacing w:beforeLines="0" w:line="560" w:lineRule="exact"/>
        <w:ind w:left="0" w:firstLine="640" w:firstLineChars="200"/>
        <w:textAlignment w:val="auto"/>
        <w:outlineLvl w:val="9"/>
        <w:rPr>
          <w:rFonts w:hint="eastAsia" w:ascii="仿宋_GB2312" w:hAnsi="仿宋_GB2312" w:eastAsia="仿宋_GB2312" w:cs="仿宋_GB2312"/>
          <w:b w:val="0"/>
          <w:bCs w:val="0"/>
          <w:color w:val="auto"/>
          <w:kern w:val="2"/>
          <w:sz w:val="32"/>
          <w:szCs w:val="32"/>
          <w:highlight w:val="none"/>
        </w:rPr>
      </w:pPr>
      <w:r>
        <w:rPr>
          <w:rFonts w:hint="eastAsia" w:ascii="仿宋_GB2312" w:hAnsi="仿宋_GB2312" w:eastAsia="仿宋_GB2312" w:cs="仿宋_GB2312"/>
          <w:b w:val="0"/>
          <w:bCs w:val="0"/>
          <w:color w:val="auto"/>
          <w:kern w:val="2"/>
          <w:sz w:val="32"/>
          <w:szCs w:val="32"/>
          <w:highlight w:val="none"/>
        </w:rPr>
        <w:t>其中：</w:t>
      </w:r>
    </w:p>
    <w:p>
      <w:pPr>
        <w:pStyle w:val="38"/>
        <w:keepNext w:val="0"/>
        <w:keepLines w:val="0"/>
        <w:pageBreakBefore w:val="0"/>
        <w:widowControl w:val="0"/>
        <w:numPr>
          <w:ilvl w:val="0"/>
          <w:numId w:val="0"/>
        </w:numPr>
        <w:tabs>
          <w:tab w:val="left" w:pos="540"/>
        </w:tabs>
        <w:kinsoku/>
        <w:wordWrap/>
        <w:overflowPunct/>
        <w:topLinePunct w:val="0"/>
        <w:autoSpaceDE/>
        <w:autoSpaceDN/>
        <w:bidi w:val="0"/>
        <w:adjustRightInd/>
        <w:snapToGrid/>
        <w:spacing w:beforeLines="0" w:line="560" w:lineRule="exact"/>
        <w:ind w:left="0" w:firstLine="640" w:firstLineChars="200"/>
        <w:textAlignment w:val="auto"/>
        <w:outlineLvl w:val="9"/>
        <w:rPr>
          <w:rFonts w:hint="eastAsia" w:ascii="仿宋_GB2312" w:hAnsi="仿宋_GB2312" w:eastAsia="仿宋_GB2312" w:cs="仿宋_GB2312"/>
          <w:b w:val="0"/>
          <w:bCs w:val="0"/>
          <w:color w:val="auto"/>
          <w:kern w:val="2"/>
          <w:sz w:val="32"/>
          <w:szCs w:val="32"/>
          <w:highlight w:val="none"/>
        </w:rPr>
      </w:pPr>
      <w:r>
        <w:rPr>
          <w:rFonts w:hint="eastAsia" w:ascii="仿宋_GB2312" w:hAnsi="仿宋_GB2312" w:eastAsia="仿宋_GB2312" w:cs="仿宋_GB2312"/>
          <w:b w:val="0"/>
          <w:bCs w:val="0"/>
          <w:color w:val="auto"/>
          <w:sz w:val="32"/>
          <w:szCs w:val="32"/>
          <w:highlight w:val="none"/>
        </w:rPr>
        <w:t>C</w:t>
      </w:r>
      <w:r>
        <w:rPr>
          <w:rFonts w:hint="eastAsia" w:ascii="仿宋_GB2312" w:hAnsi="仿宋_GB2312" w:eastAsia="仿宋_GB2312" w:cs="仿宋_GB2312"/>
          <w:b w:val="0"/>
          <w:bCs w:val="0"/>
          <w:color w:val="auto"/>
          <w:kern w:val="2"/>
          <w:sz w:val="32"/>
          <w:szCs w:val="32"/>
          <w:highlight w:val="none"/>
          <w:vertAlign w:val="subscript"/>
        </w:rPr>
        <w:t>联动退补，t</w:t>
      </w:r>
      <w:r>
        <w:rPr>
          <w:rFonts w:hint="eastAsia" w:ascii="仿宋_GB2312" w:hAnsi="仿宋_GB2312" w:eastAsia="仿宋_GB2312" w:cs="仿宋_GB2312"/>
          <w:b w:val="0"/>
          <w:bCs w:val="0"/>
          <w:color w:val="auto"/>
          <w:kern w:val="2"/>
          <w:sz w:val="32"/>
          <w:szCs w:val="32"/>
          <w:highlight w:val="none"/>
        </w:rPr>
        <w:t>为T时段需联动调整的电网代购联动退补电费；</w:t>
      </w:r>
    </w:p>
    <w:p>
      <w:pPr>
        <w:pStyle w:val="38"/>
        <w:keepNext w:val="0"/>
        <w:keepLines w:val="0"/>
        <w:pageBreakBefore w:val="0"/>
        <w:widowControl w:val="0"/>
        <w:numPr>
          <w:ilvl w:val="0"/>
          <w:numId w:val="0"/>
        </w:numPr>
        <w:tabs>
          <w:tab w:val="left" w:pos="540"/>
        </w:tabs>
        <w:kinsoku/>
        <w:wordWrap/>
        <w:overflowPunct/>
        <w:topLinePunct w:val="0"/>
        <w:autoSpaceDE/>
        <w:autoSpaceDN/>
        <w:bidi w:val="0"/>
        <w:adjustRightInd/>
        <w:snapToGrid/>
        <w:spacing w:beforeLines="0" w:line="560" w:lineRule="exact"/>
        <w:ind w:left="0" w:firstLine="640" w:firstLineChars="200"/>
        <w:textAlignment w:val="auto"/>
        <w:outlineLvl w:val="9"/>
        <w:rPr>
          <w:rFonts w:hint="eastAsia" w:ascii="仿宋_GB2312" w:hAnsi="仿宋_GB2312" w:eastAsia="仿宋_GB2312" w:cs="仿宋_GB2312"/>
          <w:b w:val="0"/>
          <w:bCs w:val="0"/>
          <w:color w:val="auto"/>
          <w:kern w:val="2"/>
          <w:sz w:val="32"/>
          <w:szCs w:val="32"/>
          <w:highlight w:val="none"/>
        </w:rPr>
      </w:pPr>
      <w:r>
        <w:rPr>
          <w:rFonts w:hint="eastAsia" w:ascii="仿宋_GB2312" w:hAnsi="仿宋_GB2312" w:eastAsia="仿宋_GB2312" w:cs="仿宋_GB2312"/>
          <w:b w:val="0"/>
          <w:bCs w:val="0"/>
          <w:color w:val="auto"/>
          <w:kern w:val="2"/>
          <w:sz w:val="32"/>
          <w:szCs w:val="32"/>
          <w:highlight w:val="none"/>
        </w:rPr>
        <w:t>Q</w:t>
      </w:r>
      <w:r>
        <w:rPr>
          <w:rFonts w:hint="eastAsia" w:ascii="仿宋_GB2312" w:hAnsi="仿宋_GB2312" w:eastAsia="仿宋_GB2312" w:cs="仿宋_GB2312"/>
          <w:b w:val="0"/>
          <w:bCs w:val="0"/>
          <w:color w:val="auto"/>
          <w:kern w:val="2"/>
          <w:sz w:val="32"/>
          <w:szCs w:val="32"/>
          <w:highlight w:val="none"/>
          <w:vertAlign w:val="subscript"/>
        </w:rPr>
        <w:t>退补，t</w:t>
      </w:r>
      <w:r>
        <w:rPr>
          <w:rFonts w:hint="eastAsia" w:ascii="仿宋_GB2312" w:hAnsi="仿宋_GB2312" w:eastAsia="仿宋_GB2312" w:cs="仿宋_GB2312"/>
          <w:b w:val="0"/>
          <w:bCs w:val="0"/>
          <w:color w:val="auto"/>
          <w:kern w:val="2"/>
          <w:sz w:val="32"/>
          <w:szCs w:val="32"/>
          <w:highlight w:val="none"/>
        </w:rPr>
        <w:t>为全市场T时段退补电量；</w:t>
      </w:r>
    </w:p>
    <w:p>
      <w:pPr>
        <w:pStyle w:val="31"/>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P</w:t>
      </w:r>
      <w:r>
        <w:rPr>
          <w:rFonts w:hint="eastAsia" w:ascii="仿宋_GB2312" w:hAnsi="仿宋_GB2312" w:eastAsia="仿宋_GB2312" w:cs="仿宋_GB2312"/>
          <w:bCs/>
          <w:color w:val="auto"/>
          <w:sz w:val="32"/>
          <w:szCs w:val="32"/>
          <w:highlight w:val="none"/>
          <w:vertAlign w:val="subscript"/>
        </w:rPr>
        <w:t>日前统一,t</w:t>
      </w:r>
      <w:r>
        <w:rPr>
          <w:rFonts w:hint="eastAsia" w:ascii="仿宋_GB2312" w:hAnsi="仿宋_GB2312" w:eastAsia="仿宋_GB2312" w:cs="仿宋_GB2312"/>
          <w:bCs/>
          <w:color w:val="auto"/>
          <w:sz w:val="32"/>
          <w:szCs w:val="32"/>
          <w:highlight w:val="none"/>
        </w:rPr>
        <w:t>为日前市场T时段统一结算点电价。</w:t>
      </w:r>
    </w:p>
    <w:p>
      <w:pPr>
        <w:pStyle w:val="38"/>
        <w:keepNext w:val="0"/>
        <w:keepLines w:val="0"/>
        <w:pageBreakBefore w:val="0"/>
        <w:widowControl w:val="0"/>
        <w:numPr>
          <w:ilvl w:val="0"/>
          <w:numId w:val="0"/>
        </w:numPr>
        <w:tabs>
          <w:tab w:val="left" w:pos="540"/>
        </w:tabs>
        <w:kinsoku/>
        <w:wordWrap/>
        <w:overflowPunct/>
        <w:topLinePunct w:val="0"/>
        <w:autoSpaceDE/>
        <w:autoSpaceDN/>
        <w:bidi w:val="0"/>
        <w:adjustRightInd/>
        <w:snapToGrid/>
        <w:spacing w:beforeLines="0" w:line="560" w:lineRule="exact"/>
        <w:ind w:left="0" w:firstLine="640" w:firstLineChars="200"/>
        <w:textAlignment w:val="auto"/>
        <w:outlineLvl w:val="9"/>
        <w:rPr>
          <w:rFonts w:hint="eastAsia" w:ascii="仿宋_GB2312" w:hAnsi="仿宋_GB2312" w:eastAsia="仿宋_GB2312" w:cs="仿宋_GB2312"/>
          <w:b w:val="0"/>
          <w:bCs w:val="0"/>
          <w:color w:val="auto"/>
          <w:kern w:val="2"/>
          <w:sz w:val="32"/>
          <w:szCs w:val="32"/>
          <w:highlight w:val="none"/>
        </w:rPr>
      </w:pPr>
      <w:r>
        <w:rPr>
          <w:rFonts w:hint="eastAsia" w:ascii="仿宋_GB2312" w:hAnsi="仿宋_GB2312" w:eastAsia="仿宋_GB2312" w:cs="仿宋_GB2312"/>
          <w:b w:val="0"/>
          <w:bCs w:val="0"/>
          <w:color w:val="auto"/>
          <w:kern w:val="2"/>
          <w:sz w:val="32"/>
          <w:szCs w:val="32"/>
          <w:highlight w:val="none"/>
        </w:rPr>
        <w:t>电网企业代购市场电量费用联动退补电费，由交易中心在次年1季度按自然年累计分时电量差错进行计算，并推送至电网企业。年度计算完成后，用户侧或发电侧发生上年度分时电量差错的不再联动调整结算电网企业代购市场电量费用，退补造成的不平衡纳入电网企业代理购电损益疏导。</w:t>
      </w:r>
    </w:p>
    <w:p>
      <w:pPr>
        <w:pStyle w:val="66"/>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8.5</w:t>
      </w:r>
      <w:r>
        <w:rPr>
          <w:rFonts w:hint="eastAsia" w:ascii="仿宋_GB2312" w:hAnsi="仿宋_GB2312" w:eastAsia="仿宋_GB2312" w:cs="仿宋_GB2312"/>
          <w:color w:val="auto"/>
          <w:sz w:val="32"/>
          <w:szCs w:val="32"/>
          <w:highlight w:val="none"/>
        </w:rPr>
        <w:t>因市场交易和结算规则（细则）、电价政策等发生变化，需要调整电费的，由交易中心依照相应规则（细则）或政策开展电费退补。</w:t>
      </w:r>
    </w:p>
    <w:p>
      <w:pPr>
        <w:pStyle w:val="66"/>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8.6</w:t>
      </w:r>
      <w:r>
        <w:rPr>
          <w:rFonts w:hint="eastAsia" w:ascii="仿宋_GB2312" w:hAnsi="仿宋_GB2312" w:eastAsia="仿宋_GB2312" w:cs="仿宋_GB2312"/>
          <w:color w:val="auto"/>
          <w:sz w:val="32"/>
          <w:szCs w:val="32"/>
          <w:highlight w:val="none"/>
        </w:rPr>
        <w:t>月度结算前发生的因电量差错等引起的机组</w:t>
      </w:r>
      <w:r>
        <w:rPr>
          <w:rFonts w:hint="eastAsia" w:ascii="仿宋_GB2312" w:hAnsi="仿宋_GB2312" w:eastAsia="仿宋_GB2312" w:cs="仿宋_GB2312"/>
          <w:color w:val="auto"/>
          <w:sz w:val="32"/>
          <w:szCs w:val="32"/>
          <w:highlight w:val="none"/>
          <w:lang w:eastAsia="zh-CN"/>
        </w:rPr>
        <w:t>分摊及返还电费调整，</w:t>
      </w:r>
      <w:r>
        <w:rPr>
          <w:rFonts w:hint="eastAsia" w:ascii="仿宋_GB2312" w:hAnsi="仿宋_GB2312" w:eastAsia="仿宋_GB2312" w:cs="仿宋_GB2312"/>
          <w:color w:val="auto"/>
          <w:sz w:val="32"/>
          <w:szCs w:val="32"/>
          <w:highlight w:val="none"/>
        </w:rPr>
        <w:t>根据重新推送的结算数据，按日重新计算后并入当月结算依据。月度结算后</w:t>
      </w:r>
      <w:r>
        <w:rPr>
          <w:rFonts w:hint="eastAsia" w:ascii="仿宋_GB2312" w:hAnsi="仿宋_GB2312" w:eastAsia="仿宋_GB2312" w:cs="仿宋_GB2312"/>
          <w:color w:val="auto"/>
          <w:sz w:val="32"/>
          <w:szCs w:val="32"/>
          <w:highlight w:val="none"/>
          <w:lang w:eastAsia="zh-CN"/>
        </w:rPr>
        <w:t>发现的机组电量差错引起的机组分摊及返还电费调整不予退补调整。</w:t>
      </w:r>
    </w:p>
    <w:p>
      <w:pPr>
        <w:pStyle w:val="66"/>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8.7</w:t>
      </w:r>
      <w:r>
        <w:rPr>
          <w:rFonts w:hint="eastAsia" w:ascii="仿宋_GB2312" w:hAnsi="仿宋_GB2312" w:eastAsia="仿宋_GB2312" w:cs="仿宋_GB2312"/>
          <w:color w:val="auto"/>
          <w:sz w:val="32"/>
          <w:szCs w:val="32"/>
          <w:highlight w:val="none"/>
          <w:lang w:eastAsia="zh-CN"/>
        </w:rPr>
        <w:t>对于月度结算后的考核补偿结果差错按退补方式进行处理。经营主体</w:t>
      </w:r>
      <w:r>
        <w:rPr>
          <w:rFonts w:hint="eastAsia" w:ascii="仿宋_GB2312" w:hAnsi="仿宋_GB2312" w:eastAsia="仿宋_GB2312" w:cs="仿宋_GB2312"/>
          <w:color w:val="auto"/>
          <w:sz w:val="32"/>
          <w:szCs w:val="32"/>
          <w:highlight w:val="none"/>
        </w:rPr>
        <w:t>需按照规定开展发电侧考核申诉及退补申请，除技术系统故障等原因导致考核边界数据差错外，原则上不开展发电侧考核退补。</w:t>
      </w:r>
    </w:p>
    <w:p>
      <w:pPr>
        <w:pStyle w:val="67"/>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8.7.1</w:t>
      </w:r>
      <w:r>
        <w:rPr>
          <w:rFonts w:hint="eastAsia" w:ascii="仿宋_GB2312" w:hAnsi="仿宋_GB2312" w:eastAsia="仿宋_GB2312" w:cs="仿宋_GB2312"/>
          <w:color w:val="auto"/>
          <w:sz w:val="32"/>
          <w:szCs w:val="32"/>
          <w:highlight w:val="none"/>
          <w:lang w:eastAsia="zh-CN"/>
        </w:rPr>
        <w:t>经营主体</w:t>
      </w:r>
      <w:r>
        <w:rPr>
          <w:rFonts w:hint="eastAsia" w:ascii="仿宋_GB2312" w:hAnsi="仿宋_GB2312" w:eastAsia="仿宋_GB2312" w:cs="仿宋_GB2312"/>
          <w:color w:val="auto"/>
          <w:sz w:val="32"/>
          <w:szCs w:val="32"/>
          <w:highlight w:val="none"/>
        </w:rPr>
        <w:t>须在规定时间内通过调度机构技术系统进行申诉，由调度机构审核处理并批准考核结果。</w:t>
      </w:r>
      <w:r>
        <w:rPr>
          <w:rFonts w:hint="eastAsia" w:ascii="仿宋_GB2312" w:hAnsi="仿宋_GB2312" w:eastAsia="仿宋_GB2312" w:cs="仿宋_GB2312"/>
          <w:color w:val="auto"/>
          <w:sz w:val="32"/>
          <w:szCs w:val="32"/>
          <w:highlight w:val="none"/>
          <w:lang w:eastAsia="zh-CN"/>
        </w:rPr>
        <w:t>经营主体</w:t>
      </w:r>
      <w:r>
        <w:rPr>
          <w:rFonts w:hint="eastAsia" w:ascii="仿宋_GB2312" w:hAnsi="仿宋_GB2312" w:eastAsia="仿宋_GB2312" w:cs="仿宋_GB2312"/>
          <w:color w:val="auto"/>
          <w:sz w:val="32"/>
          <w:szCs w:val="32"/>
          <w:highlight w:val="none"/>
        </w:rPr>
        <w:t>对考核结果存在疑义的，需在日清算</w:t>
      </w:r>
      <w:r>
        <w:rPr>
          <w:rFonts w:hint="eastAsia" w:ascii="仿宋_GB2312" w:hAnsi="仿宋_GB2312" w:eastAsia="仿宋_GB2312" w:cs="仿宋_GB2312"/>
          <w:color w:val="auto"/>
          <w:sz w:val="32"/>
          <w:szCs w:val="32"/>
          <w:highlight w:val="none"/>
          <w:lang w:eastAsia="zh-CN"/>
        </w:rPr>
        <w:t>重算数据准备</w:t>
      </w:r>
      <w:r>
        <w:rPr>
          <w:rFonts w:hint="eastAsia" w:ascii="仿宋_GB2312" w:hAnsi="仿宋_GB2312" w:eastAsia="仿宋_GB2312" w:cs="仿宋_GB2312"/>
          <w:color w:val="auto"/>
          <w:sz w:val="32"/>
          <w:szCs w:val="32"/>
          <w:highlight w:val="none"/>
        </w:rPr>
        <w:t>截止时间之前</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M+4日</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通过调度机构技术系统进行申诉。</w:t>
      </w:r>
      <w:r>
        <w:rPr>
          <w:rFonts w:hint="eastAsia" w:ascii="仿宋_GB2312" w:hAnsi="仿宋_GB2312" w:eastAsia="仿宋_GB2312" w:cs="仿宋_GB2312"/>
          <w:color w:val="auto"/>
          <w:sz w:val="32"/>
          <w:szCs w:val="32"/>
          <w:highlight w:val="none"/>
          <w:lang w:eastAsia="zh-CN"/>
        </w:rPr>
        <w:t>经营主体</w:t>
      </w:r>
      <w:r>
        <w:rPr>
          <w:rFonts w:hint="eastAsia" w:ascii="仿宋_GB2312" w:hAnsi="仿宋_GB2312" w:eastAsia="仿宋_GB2312" w:cs="仿宋_GB2312"/>
          <w:color w:val="auto"/>
          <w:sz w:val="32"/>
          <w:szCs w:val="32"/>
          <w:highlight w:val="none"/>
        </w:rPr>
        <w:t>因自身原因未及时在调度机构技术系统提交申诉理由或未正确填写申诉理由导致申诉未通过，原则上均不予受理，默认为同意考核结果。</w:t>
      </w:r>
    </w:p>
    <w:p>
      <w:pPr>
        <w:pStyle w:val="67"/>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8.7.2</w:t>
      </w:r>
      <w:r>
        <w:rPr>
          <w:rFonts w:hint="eastAsia" w:ascii="仿宋_GB2312" w:hAnsi="仿宋_GB2312" w:eastAsia="仿宋_GB2312" w:cs="仿宋_GB2312"/>
          <w:color w:val="auto"/>
          <w:sz w:val="32"/>
          <w:szCs w:val="32"/>
          <w:highlight w:val="none"/>
        </w:rPr>
        <w:t>在月度结算前，调度机构对</w:t>
      </w:r>
      <w:r>
        <w:rPr>
          <w:rFonts w:hint="eastAsia" w:ascii="仿宋_GB2312" w:hAnsi="仿宋_GB2312" w:eastAsia="仿宋_GB2312" w:cs="仿宋_GB2312"/>
          <w:color w:val="auto"/>
          <w:sz w:val="32"/>
          <w:szCs w:val="32"/>
          <w:highlight w:val="none"/>
          <w:lang w:eastAsia="zh-CN"/>
        </w:rPr>
        <w:t>经营主体</w:t>
      </w:r>
      <w:r>
        <w:rPr>
          <w:rFonts w:hint="eastAsia" w:ascii="仿宋_GB2312" w:hAnsi="仿宋_GB2312" w:eastAsia="仿宋_GB2312" w:cs="仿宋_GB2312"/>
          <w:color w:val="auto"/>
          <w:sz w:val="32"/>
          <w:szCs w:val="32"/>
          <w:highlight w:val="none"/>
        </w:rPr>
        <w:t>申诉开展数据复核、修正及重推，交易中心按照日清重算处理。</w:t>
      </w:r>
    </w:p>
    <w:p>
      <w:pPr>
        <w:pStyle w:val="67"/>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8.7.3</w:t>
      </w:r>
      <w:r>
        <w:rPr>
          <w:rFonts w:hint="eastAsia" w:ascii="仿宋_GB2312" w:hAnsi="仿宋_GB2312" w:eastAsia="仿宋_GB2312" w:cs="仿宋_GB2312"/>
          <w:color w:val="auto"/>
          <w:sz w:val="32"/>
          <w:szCs w:val="32"/>
          <w:highlight w:val="none"/>
        </w:rPr>
        <w:t>若需跨月退补，由</w:t>
      </w:r>
      <w:r>
        <w:rPr>
          <w:rFonts w:hint="eastAsia" w:ascii="仿宋_GB2312" w:hAnsi="仿宋_GB2312" w:eastAsia="仿宋_GB2312" w:cs="仿宋_GB2312"/>
          <w:color w:val="auto"/>
          <w:sz w:val="32"/>
          <w:szCs w:val="32"/>
          <w:highlight w:val="none"/>
          <w:lang w:eastAsia="zh-CN"/>
        </w:rPr>
        <w:t>经营主体</w:t>
      </w:r>
      <w:r>
        <w:rPr>
          <w:rFonts w:hint="eastAsia" w:ascii="仿宋_GB2312" w:hAnsi="仿宋_GB2312" w:eastAsia="仿宋_GB2312" w:cs="仿宋_GB2312"/>
          <w:color w:val="auto"/>
          <w:sz w:val="32"/>
          <w:szCs w:val="32"/>
          <w:highlight w:val="none"/>
        </w:rPr>
        <w:t>向交易中心提出发电侧考核退补申请，由调度中心核查并出具意见</w:t>
      </w:r>
      <w:r>
        <w:rPr>
          <w:rFonts w:hint="eastAsia" w:ascii="仿宋_GB2312" w:hAnsi="仿宋_GB2312" w:eastAsia="仿宋_GB2312" w:cs="仿宋_GB2312"/>
          <w:color w:val="auto"/>
          <w:sz w:val="32"/>
          <w:szCs w:val="32"/>
          <w:highlight w:val="none"/>
          <w:lang w:eastAsia="zh-CN"/>
        </w:rPr>
        <w:t>，交易中心依据调度中心出具的意见开展跨月退补结算。</w:t>
      </w:r>
    </w:p>
    <w:p>
      <w:pPr>
        <w:pStyle w:val="67"/>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8.7.4</w:t>
      </w:r>
      <w:r>
        <w:rPr>
          <w:rFonts w:hint="eastAsia" w:ascii="仿宋_GB2312" w:hAnsi="仿宋_GB2312" w:eastAsia="仿宋_GB2312" w:cs="仿宋_GB2312"/>
          <w:color w:val="auto"/>
          <w:sz w:val="32"/>
          <w:szCs w:val="32"/>
          <w:highlight w:val="none"/>
          <w:lang w:eastAsia="zh-CN"/>
        </w:rPr>
        <w:t>由于技术系统问题导致需进行机组考核补偿修正的，按修正后数据重新计算对应主体的考核补偿退补电费，计入该经营主体电费退补向在实施退补月份一并结算。</w:t>
      </w:r>
    </w:p>
    <w:p>
      <w:pPr>
        <w:pStyle w:val="66"/>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8.8</w:t>
      </w:r>
      <w:r>
        <w:rPr>
          <w:rFonts w:hint="eastAsia" w:ascii="仿宋_GB2312" w:hAnsi="仿宋_GB2312" w:eastAsia="仿宋_GB2312" w:cs="仿宋_GB2312"/>
          <w:color w:val="auto"/>
          <w:sz w:val="32"/>
          <w:szCs w:val="32"/>
          <w:highlight w:val="none"/>
          <w:lang w:eastAsia="zh-CN"/>
        </w:rPr>
        <w:t>考核、补偿等相关返还及分摊电费的退补调整，如需分摊和分享，纳入实施退补月份处理；</w:t>
      </w:r>
      <w:r>
        <w:rPr>
          <w:rFonts w:hint="eastAsia" w:ascii="仿宋_GB2312" w:hAnsi="仿宋_GB2312" w:eastAsia="仿宋_GB2312" w:cs="仿宋_GB2312"/>
          <w:color w:val="auto"/>
          <w:sz w:val="32"/>
          <w:szCs w:val="32"/>
          <w:highlight w:val="none"/>
        </w:rPr>
        <w:t>因电量变化引起差错月份</w:t>
      </w:r>
      <w:r>
        <w:rPr>
          <w:rFonts w:hint="eastAsia" w:ascii="仿宋_GB2312" w:hAnsi="仿宋_GB2312" w:eastAsia="仿宋_GB2312" w:cs="仿宋_GB2312"/>
          <w:color w:val="auto"/>
          <w:sz w:val="32"/>
          <w:szCs w:val="32"/>
          <w:highlight w:val="none"/>
          <w:lang w:eastAsia="zh-CN"/>
        </w:rPr>
        <w:t>经营主体</w:t>
      </w:r>
      <w:r>
        <w:rPr>
          <w:rFonts w:hint="eastAsia" w:ascii="仿宋_GB2312" w:hAnsi="仿宋_GB2312" w:eastAsia="仿宋_GB2312" w:cs="仿宋_GB2312"/>
          <w:color w:val="auto"/>
          <w:sz w:val="32"/>
          <w:szCs w:val="32"/>
          <w:highlight w:val="none"/>
        </w:rPr>
        <w:t>分摊比例的差异不作电费调整。市场形成价格不因事后电量调整进行重算。</w:t>
      </w:r>
    </w:p>
    <w:p>
      <w:pPr>
        <w:pStyle w:val="6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20" w:leftChars="200" w:firstLine="320" w:firstLineChars="100"/>
        <w:textAlignment w:val="auto"/>
        <w:outlineLvl w:val="0"/>
        <w:rPr>
          <w:rFonts w:hint="eastAsia" w:ascii="黑体" w:hAnsi="黑体" w:eastAsia="黑体" w:cs="黑体"/>
          <w:color w:val="auto"/>
          <w:sz w:val="32"/>
          <w:szCs w:val="32"/>
          <w:highlight w:val="none"/>
          <w:lang w:val="zh-CN"/>
        </w:rPr>
      </w:pPr>
      <w:r>
        <w:rPr>
          <w:rFonts w:hint="eastAsia" w:ascii="黑体" w:hAnsi="黑体" w:eastAsia="黑体" w:cs="黑体"/>
          <w:color w:val="auto"/>
          <w:sz w:val="32"/>
          <w:szCs w:val="32"/>
          <w:highlight w:val="none"/>
          <w:lang w:val="en-US" w:eastAsia="zh-CN"/>
        </w:rPr>
        <w:t>9.</w:t>
      </w:r>
      <w:r>
        <w:rPr>
          <w:rFonts w:hint="eastAsia" w:ascii="黑体" w:hAnsi="黑体" w:eastAsia="黑体" w:cs="黑体"/>
          <w:color w:val="auto"/>
          <w:sz w:val="32"/>
          <w:szCs w:val="32"/>
          <w:highlight w:val="none"/>
          <w:lang w:val="zh-CN"/>
        </w:rPr>
        <w:t>辅助服务结算</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调频、备用等辅助服务费用按国家有关政策规定和辅助服务市场规则执行。现阶段，调频市场、“两个细则”等辅助服务电费暂由电力调度机构计算并出具结算依据，发至省级电网企业开展结算。</w:t>
      </w:r>
    </w:p>
    <w:p>
      <w:pPr>
        <w:pStyle w:val="6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20" w:leftChars="200" w:firstLine="320" w:firstLineChars="100"/>
        <w:textAlignment w:val="auto"/>
        <w:outlineLvl w:val="0"/>
        <w:rPr>
          <w:rFonts w:hint="eastAsia" w:ascii="黑体" w:hAnsi="黑体" w:eastAsia="黑体" w:cs="黑体"/>
          <w:color w:val="auto"/>
          <w:sz w:val="32"/>
          <w:szCs w:val="32"/>
          <w:highlight w:val="none"/>
          <w:lang w:val="zh-CN"/>
        </w:rPr>
      </w:pPr>
      <w:bookmarkStart w:id="162" w:name="_Toc340850805"/>
      <w:bookmarkEnd w:id="162"/>
      <w:bookmarkStart w:id="163" w:name="_Toc340842332"/>
      <w:bookmarkEnd w:id="163"/>
      <w:r>
        <w:rPr>
          <w:rFonts w:hint="eastAsia" w:ascii="黑体" w:hAnsi="黑体" w:eastAsia="黑体" w:cs="黑体"/>
          <w:color w:val="auto"/>
          <w:sz w:val="32"/>
          <w:szCs w:val="32"/>
          <w:highlight w:val="none"/>
          <w:lang w:val="en-US" w:eastAsia="zh-CN"/>
        </w:rPr>
        <w:t>10.</w:t>
      </w:r>
      <w:r>
        <w:rPr>
          <w:rFonts w:hint="eastAsia" w:ascii="黑体" w:hAnsi="黑体" w:eastAsia="黑体" w:cs="黑体"/>
          <w:color w:val="auto"/>
          <w:sz w:val="32"/>
          <w:szCs w:val="32"/>
          <w:highlight w:val="none"/>
          <w:lang w:val="zh-CN"/>
        </w:rPr>
        <w:t>其他事项</w:t>
      </w:r>
    </w:p>
    <w:p>
      <w:pPr>
        <w:pStyle w:val="66"/>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3" w:firstLineChars="200"/>
        <w:textAlignment w:val="auto"/>
        <w:outlineLvl w:val="1"/>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10.1</w:t>
      </w:r>
      <w:r>
        <w:rPr>
          <w:rFonts w:hint="eastAsia" w:ascii="仿宋_GB2312" w:hAnsi="仿宋_GB2312" w:eastAsia="仿宋_GB2312" w:cs="仿宋_GB2312"/>
          <w:b/>
          <w:bCs/>
          <w:color w:val="auto"/>
          <w:sz w:val="32"/>
          <w:szCs w:val="32"/>
          <w:highlight w:val="none"/>
        </w:rPr>
        <w:t>结算依据管理</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海南电力交易中心制定海南电力市场结算依据模板，结算依据应包括但不限于以下内容：</w:t>
      </w:r>
    </w:p>
    <w:p>
      <w:pPr>
        <w:pStyle w:val="35"/>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）实际结算电量；</w:t>
      </w:r>
    </w:p>
    <w:p>
      <w:pPr>
        <w:pStyle w:val="35"/>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）各类中长期交易合同结算电量、电价和电费；</w:t>
      </w:r>
    </w:p>
    <w:p>
      <w:pPr>
        <w:pStyle w:val="35"/>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）偏差电量、电价和电费；</w:t>
      </w:r>
    </w:p>
    <w:p>
      <w:pPr>
        <w:pStyle w:val="35"/>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）分摊、返还</w:t>
      </w:r>
      <w:r>
        <w:rPr>
          <w:rFonts w:hint="eastAsia" w:ascii="仿宋_GB2312" w:hAnsi="仿宋_GB2312" w:eastAsia="仿宋_GB2312" w:cs="仿宋_GB2312"/>
          <w:color w:val="auto"/>
          <w:sz w:val="32"/>
          <w:szCs w:val="32"/>
          <w:highlight w:val="none"/>
          <w:lang w:eastAsia="zh-CN"/>
        </w:rPr>
        <w:t>、不平衡资金、环境溢价</w:t>
      </w:r>
      <w:r>
        <w:rPr>
          <w:rFonts w:hint="eastAsia" w:ascii="仿宋_GB2312" w:hAnsi="仿宋_GB2312" w:eastAsia="仿宋_GB2312" w:cs="仿宋_GB2312"/>
          <w:color w:val="auto"/>
          <w:sz w:val="32"/>
          <w:szCs w:val="32"/>
          <w:highlight w:val="none"/>
        </w:rPr>
        <w:t>电费</w:t>
      </w:r>
      <w:r>
        <w:rPr>
          <w:rFonts w:hint="eastAsia" w:ascii="仿宋_GB2312" w:hAnsi="仿宋_GB2312" w:eastAsia="仿宋_GB2312" w:cs="仿宋_GB2312"/>
          <w:color w:val="auto"/>
          <w:sz w:val="32"/>
          <w:szCs w:val="32"/>
          <w:highlight w:val="none"/>
          <w:lang w:eastAsia="zh-CN"/>
        </w:rPr>
        <w:t>等。</w:t>
      </w:r>
    </w:p>
    <w:p>
      <w:pPr>
        <w:pStyle w:val="66"/>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3" w:firstLineChars="200"/>
        <w:textAlignment w:val="auto"/>
        <w:outlineLvl w:val="1"/>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10.2</w:t>
      </w:r>
      <w:r>
        <w:rPr>
          <w:rFonts w:hint="eastAsia" w:ascii="仿宋_GB2312" w:hAnsi="仿宋_GB2312" w:eastAsia="仿宋_GB2312" w:cs="仿宋_GB2312"/>
          <w:b/>
          <w:bCs/>
          <w:color w:val="auto"/>
          <w:sz w:val="32"/>
          <w:szCs w:val="32"/>
          <w:highlight w:val="none"/>
        </w:rPr>
        <w:t>结算履约义务</w:t>
      </w:r>
    </w:p>
    <w:p>
      <w:pPr>
        <w:pStyle w:val="31"/>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经营主体</w:t>
      </w:r>
      <w:r>
        <w:rPr>
          <w:rFonts w:hint="eastAsia" w:ascii="仿宋_GB2312" w:hAnsi="仿宋_GB2312" w:eastAsia="仿宋_GB2312" w:cs="仿宋_GB2312"/>
          <w:color w:val="auto"/>
          <w:sz w:val="32"/>
          <w:szCs w:val="32"/>
          <w:highlight w:val="none"/>
        </w:rPr>
        <w:t>在中长期电能量市场成交结果（包括中长期合约、电网代购市场电量合约）、电能量现货市场、辅助服务市场结果以及在交易中心登记的零售合同，在执行过程中出现以下情形的，除合同双方约定一致外，交易中心仍按</w:t>
      </w:r>
      <w:r>
        <w:rPr>
          <w:rFonts w:hint="eastAsia" w:ascii="仿宋_GB2312" w:hAnsi="仿宋_GB2312" w:eastAsia="仿宋_GB2312" w:cs="仿宋_GB2312"/>
          <w:color w:val="auto"/>
          <w:sz w:val="32"/>
          <w:szCs w:val="32"/>
          <w:highlight w:val="none"/>
          <w:lang w:eastAsia="zh-CN"/>
        </w:rPr>
        <w:t>本规则开展</w:t>
      </w:r>
      <w:r>
        <w:rPr>
          <w:rFonts w:hint="eastAsia" w:ascii="仿宋_GB2312" w:hAnsi="仿宋_GB2312" w:eastAsia="仿宋_GB2312" w:cs="仿宋_GB2312"/>
          <w:color w:val="auto"/>
          <w:sz w:val="32"/>
          <w:szCs w:val="32"/>
          <w:highlight w:val="none"/>
        </w:rPr>
        <w:t>结算，</w:t>
      </w:r>
      <w:r>
        <w:rPr>
          <w:rFonts w:hint="eastAsia" w:ascii="仿宋_GB2312" w:hAnsi="仿宋_GB2312" w:eastAsia="仿宋_GB2312" w:cs="仿宋_GB2312"/>
          <w:color w:val="auto"/>
          <w:sz w:val="32"/>
          <w:szCs w:val="32"/>
          <w:highlight w:val="none"/>
          <w:lang w:eastAsia="zh-CN"/>
        </w:rPr>
        <w:t>经营主体</w:t>
      </w:r>
      <w:r>
        <w:rPr>
          <w:rFonts w:hint="eastAsia" w:ascii="仿宋_GB2312" w:hAnsi="仿宋_GB2312" w:eastAsia="仿宋_GB2312" w:cs="仿宋_GB2312"/>
          <w:color w:val="auto"/>
          <w:sz w:val="32"/>
          <w:szCs w:val="32"/>
          <w:highlight w:val="none"/>
        </w:rPr>
        <w:t>仍应当承担结算履约义务：</w:t>
      </w:r>
    </w:p>
    <w:p>
      <w:pPr>
        <w:pStyle w:val="31"/>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（1）输配电设施出现检修或者强迫停运的；</w:t>
      </w:r>
    </w:p>
    <w:p>
      <w:pPr>
        <w:pStyle w:val="31"/>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（2）因台风、雷暴、高温等原因影响发电、用电的；</w:t>
      </w:r>
    </w:p>
    <w:p>
      <w:pPr>
        <w:pStyle w:val="31"/>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（3）因政策原因影响发电、用电的。</w:t>
      </w:r>
    </w:p>
    <w:p>
      <w:pPr>
        <w:pStyle w:val="31"/>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本款所称合同双方约定一致仅指合同双方就其所登记备案的合同有关结算内容调整达成一致。</w:t>
      </w:r>
    </w:p>
    <w:p>
      <w:pPr>
        <w:pStyle w:val="66"/>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3" w:firstLineChars="200"/>
        <w:textAlignment w:val="auto"/>
        <w:outlineLvl w:val="1"/>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10.3</w:t>
      </w:r>
      <w:r>
        <w:rPr>
          <w:rFonts w:hint="eastAsia" w:ascii="仿宋_GB2312" w:hAnsi="仿宋_GB2312" w:eastAsia="仿宋_GB2312" w:cs="仿宋_GB2312"/>
          <w:b/>
          <w:bCs/>
          <w:color w:val="auto"/>
          <w:sz w:val="32"/>
          <w:szCs w:val="32"/>
          <w:highlight w:val="none"/>
        </w:rPr>
        <w:t>其他事项</w:t>
      </w:r>
    </w:p>
    <w:p>
      <w:pPr>
        <w:pStyle w:val="67"/>
        <w:keepNext w:val="0"/>
        <w:keepLines w:val="0"/>
        <w:pageBreakBefore w:val="0"/>
        <w:widowControl w:val="0"/>
        <w:numPr>
          <w:ilvl w:val="2"/>
          <w:numId w:val="0"/>
        </w:numPr>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10.3.1</w:t>
      </w:r>
      <w:r>
        <w:rPr>
          <w:rFonts w:hint="eastAsia" w:ascii="仿宋_GB2312" w:hAnsi="仿宋_GB2312" w:eastAsia="仿宋_GB2312" w:cs="仿宋_GB2312"/>
          <w:color w:val="auto"/>
          <w:sz w:val="32"/>
          <w:szCs w:val="32"/>
          <w:highlight w:val="none"/>
        </w:rPr>
        <w:t>用户过户</w:t>
      </w:r>
    </w:p>
    <w:p>
      <w:pPr>
        <w:keepNext w:val="0"/>
        <w:keepLines w:val="0"/>
        <w:widowControl/>
        <w:suppressLineNumbers w:val="0"/>
        <w:ind w:firstLine="620" w:firstLineChars="200"/>
        <w:jc w:val="left"/>
        <w:rPr>
          <w:rFonts w:hint="eastAsia" w:ascii="仿宋_GB2312" w:hAnsi="宋体" w:eastAsia="仿宋_GB2312" w:cs="仿宋_GB2312"/>
          <w:color w:val="auto"/>
          <w:kern w:val="0"/>
          <w:sz w:val="31"/>
          <w:szCs w:val="31"/>
          <w:highlight w:val="none"/>
          <w:lang w:val="en-US" w:eastAsia="zh-CN" w:bidi="ar"/>
        </w:rPr>
      </w:pPr>
      <w:r>
        <w:rPr>
          <w:rFonts w:ascii="仿宋_GB2312" w:hAnsi="宋体" w:eastAsia="仿宋_GB2312" w:cs="仿宋_GB2312"/>
          <w:color w:val="auto"/>
          <w:kern w:val="0"/>
          <w:sz w:val="31"/>
          <w:szCs w:val="31"/>
          <w:highlight w:val="none"/>
          <w:lang w:val="en-US" w:eastAsia="zh-CN" w:bidi="ar"/>
        </w:rPr>
        <w:t>对于电力用户之间的过户，用户间电量以月为最小间隔</w:t>
      </w:r>
      <w:r>
        <w:rPr>
          <w:rFonts w:hint="eastAsia" w:ascii="仿宋_GB2312" w:hAnsi="宋体" w:eastAsia="仿宋_GB2312" w:cs="仿宋_GB2312"/>
          <w:color w:val="auto"/>
          <w:kern w:val="0"/>
          <w:sz w:val="31"/>
          <w:szCs w:val="31"/>
          <w:highlight w:val="none"/>
          <w:lang w:val="en-US" w:eastAsia="zh-CN" w:bidi="ar"/>
        </w:rPr>
        <w:t>单位，计量电量按过户前后切割分开对应结算。各类型过户具体结算规则如下：</w:t>
      </w:r>
    </w:p>
    <w:p>
      <w:pPr>
        <w:keepNext w:val="0"/>
        <w:keepLines w:val="0"/>
        <w:widowControl/>
        <w:suppressLineNumbers w:val="0"/>
        <w:ind w:firstLine="620" w:firstLineChars="200"/>
        <w:jc w:val="left"/>
        <w:rPr>
          <w:rFonts w:hint="eastAsia" w:ascii="仿宋_GB2312" w:hAnsi="仿宋_GB2312" w:eastAsia="仿宋_GB2312" w:cs="仿宋_GB2312"/>
          <w:color w:val="auto"/>
          <w:sz w:val="32"/>
          <w:szCs w:val="32"/>
          <w:highlight w:val="none"/>
        </w:rPr>
      </w:pPr>
      <w:r>
        <w:rPr>
          <w:rFonts w:hint="eastAsia" w:ascii="仿宋_GB2312" w:hAnsi="宋体" w:eastAsia="仿宋_GB2312" w:cs="仿宋_GB2312"/>
          <w:color w:val="auto"/>
          <w:kern w:val="0"/>
          <w:sz w:val="31"/>
          <w:szCs w:val="31"/>
          <w:highlight w:val="none"/>
          <w:lang w:val="en-US" w:eastAsia="zh-CN" w:bidi="ar"/>
        </w:rPr>
        <w:t>10.3.1.1</w:t>
      </w:r>
      <w:r>
        <w:rPr>
          <w:rFonts w:hint="eastAsia" w:ascii="仿宋_GB2312" w:hAnsi="仿宋_GB2312" w:eastAsia="仿宋_GB2312" w:cs="仿宋_GB2312"/>
          <w:color w:val="auto"/>
          <w:sz w:val="32"/>
          <w:szCs w:val="32"/>
          <w:highlight w:val="none"/>
        </w:rPr>
        <w:t>当市场交易户过户给另一个市场交易户，按照交易入市规则，对应的计量点过户后继续参与市场化交易，即时生效，并进行分段市场化交易结算，以双方签名确认时间点切割过户前后电量。该计量点过户前电量，电网企业暂按当月电网企业代理购电工商业用户电价 1.2 倍计费标准计算，并于月度正式结算时，按照双方确认时间分别将该计量点过户前电量和过户后电量推送至交易平台，待交易中心发布正式月度结算依据后，电网企业根据正式月度结算依据对该计量点过户前电量电费开展多退少补，并出具月度结算账单，该计量的过户前电量电费以月度结算账单为准。</w:t>
      </w:r>
    </w:p>
    <w:p>
      <w:pPr>
        <w:pStyle w:val="3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10.3.1.2</w:t>
      </w:r>
      <w:r>
        <w:rPr>
          <w:rFonts w:hint="eastAsia" w:ascii="仿宋_GB2312" w:hAnsi="仿宋_GB2312" w:eastAsia="仿宋_GB2312" w:cs="仿宋_GB2312"/>
          <w:color w:val="auto"/>
          <w:sz w:val="32"/>
          <w:szCs w:val="32"/>
          <w:highlight w:val="none"/>
        </w:rPr>
        <w:t>当市场交易户过户给非市场交易户，对应的计量点进行电量分段结算。以双方签名确认时间点切割该计量点过户前后电量，过户后变更为代理购电户的生效时间为即时生效。过户前电量，电网企业暂按当月电网企业代理购电工商业用户电价1.2倍计费标准计算，并于月度正式结算时，将该计量点过户前电量推送至交易平台，待交易中心发布正式月度结算依据后，电网企业根据正式月度结算依据对过户前电量电费开展多退少补，并出具月度结算账单，该计量的过户前电量电费以月度结算账单为准。过户后产生电量，由电网企业按照当月电网代理购电价格进行结算。</w:t>
      </w:r>
    </w:p>
    <w:p>
      <w:pPr>
        <w:pStyle w:val="67"/>
        <w:keepNext w:val="0"/>
        <w:keepLines w:val="0"/>
        <w:pageBreakBefore w:val="0"/>
        <w:widowControl w:val="0"/>
        <w:numPr>
          <w:ilvl w:val="2"/>
          <w:numId w:val="0"/>
        </w:numPr>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宋体" w:eastAsia="仿宋_GB2312" w:cs="仿宋_GB2312"/>
          <w:color w:val="auto"/>
          <w:kern w:val="0"/>
          <w:sz w:val="31"/>
          <w:szCs w:val="31"/>
          <w:highlight w:val="none"/>
          <w:lang w:val="en-US" w:eastAsia="zh-CN" w:bidi="ar"/>
        </w:rPr>
      </w:pPr>
      <w:r>
        <w:rPr>
          <w:rFonts w:hint="eastAsia" w:ascii="仿宋_GB2312" w:hAnsi="仿宋_GB2312" w:eastAsia="仿宋_GB2312" w:cs="仿宋_GB2312"/>
          <w:color w:val="auto"/>
          <w:sz w:val="32"/>
          <w:szCs w:val="32"/>
          <w:highlight w:val="none"/>
          <w:lang w:val="en-US" w:eastAsia="zh-CN"/>
        </w:rPr>
        <w:t>10.3.1.3</w:t>
      </w:r>
      <w:r>
        <w:rPr>
          <w:rFonts w:ascii="仿宋_GB2312" w:hAnsi="宋体" w:eastAsia="仿宋_GB2312" w:cs="仿宋_GB2312"/>
          <w:color w:val="auto"/>
          <w:kern w:val="0"/>
          <w:sz w:val="31"/>
          <w:szCs w:val="31"/>
          <w:highlight w:val="none"/>
          <w:lang w:val="en-US" w:eastAsia="zh-CN" w:bidi="ar"/>
        </w:rPr>
        <w:t>非市场交易户过户给市场交易户，按照交易</w:t>
      </w:r>
      <w:r>
        <w:rPr>
          <w:rFonts w:hint="eastAsia" w:ascii="仿宋_GB2312" w:hAnsi="宋体" w:eastAsia="仿宋_GB2312" w:cs="仿宋_GB2312"/>
          <w:color w:val="auto"/>
          <w:kern w:val="0"/>
          <w:sz w:val="31"/>
          <w:szCs w:val="31"/>
          <w:highlight w:val="none"/>
          <w:lang w:val="en-US" w:eastAsia="zh-CN" w:bidi="ar"/>
        </w:rPr>
        <w:t>入市规则，对应的计量点过户后参与交易的生效时间为次月生效，过户前后电量进行分段结算。该计量点过户前及过户后的电量均按照当月电网代理购电价格进行结算。该计量点于次月参与市场交易，按市场规则开展市场化交易结算。</w:t>
      </w:r>
    </w:p>
    <w:p>
      <w:pPr>
        <w:pStyle w:val="67"/>
        <w:keepNext w:val="0"/>
        <w:keepLines w:val="0"/>
        <w:pageBreakBefore w:val="0"/>
        <w:widowControl w:val="0"/>
        <w:numPr>
          <w:ilvl w:val="2"/>
          <w:numId w:val="0"/>
        </w:numPr>
        <w:kinsoku/>
        <w:wordWrap/>
        <w:overflowPunct/>
        <w:topLinePunct w:val="0"/>
        <w:autoSpaceDE/>
        <w:autoSpaceDN/>
        <w:bidi w:val="0"/>
        <w:adjustRightInd/>
        <w:snapToGrid/>
        <w:spacing w:line="560" w:lineRule="exact"/>
        <w:ind w:firstLine="640" w:firstLineChars="200"/>
        <w:jc w:val="both"/>
        <w:textAlignment w:val="auto"/>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10.3.2</w:t>
      </w:r>
      <w:r>
        <w:rPr>
          <w:rFonts w:hint="eastAsia" w:ascii="仿宋_GB2312" w:hAnsi="仿宋_GB2312" w:eastAsia="仿宋_GB2312" w:cs="仿宋_GB2312"/>
          <w:color w:val="auto"/>
          <w:sz w:val="32"/>
          <w:szCs w:val="32"/>
          <w:highlight w:val="none"/>
        </w:rPr>
        <w:t>变损电量</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color w:val="auto"/>
          <w:highlight w:val="none"/>
        </w:rPr>
      </w:pPr>
      <w:r>
        <w:rPr>
          <w:rFonts w:ascii="仿宋_GB2312" w:hAnsi="宋体" w:eastAsia="仿宋_GB2312" w:cs="仿宋_GB2312"/>
          <w:color w:val="auto"/>
          <w:kern w:val="0"/>
          <w:sz w:val="31"/>
          <w:szCs w:val="31"/>
          <w:highlight w:val="none"/>
          <w:lang w:val="en-US" w:eastAsia="zh-CN" w:bidi="ar"/>
        </w:rPr>
        <w:t>对于“高供低计”的市场购电用户，其变损电量以月度</w:t>
      </w:r>
      <w:r>
        <w:rPr>
          <w:rFonts w:hint="eastAsia" w:ascii="仿宋_GB2312" w:hAnsi="宋体" w:eastAsia="仿宋_GB2312" w:cs="仿宋_GB2312"/>
          <w:color w:val="auto"/>
          <w:kern w:val="0"/>
          <w:sz w:val="31"/>
          <w:szCs w:val="31"/>
          <w:highlight w:val="none"/>
          <w:lang w:val="en-US" w:eastAsia="zh-CN" w:bidi="ar"/>
        </w:rPr>
        <w:t>为计算周期，按照全月各时段实际用电量比例（执行峰谷分时政策的用户，按照全月峰谷电量比例），叠加计入最后一个用电日各时段用电量中，纳入当日市场化电费结算。</w:t>
      </w:r>
    </w:p>
    <w:p>
      <w:pPr>
        <w:pStyle w:val="67"/>
        <w:keepNext w:val="0"/>
        <w:keepLines w:val="0"/>
        <w:pageBreakBefore w:val="0"/>
        <w:widowControl w:val="0"/>
        <w:numPr>
          <w:ilvl w:val="2"/>
          <w:numId w:val="0"/>
        </w:numPr>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10.3.3</w:t>
      </w:r>
      <w:r>
        <w:rPr>
          <w:rFonts w:hint="eastAsia" w:ascii="仿宋_GB2312" w:hAnsi="仿宋_GB2312" w:eastAsia="仿宋_GB2312" w:cs="仿宋_GB2312"/>
          <w:color w:val="auto"/>
          <w:sz w:val="32"/>
          <w:szCs w:val="32"/>
          <w:highlight w:val="none"/>
        </w:rPr>
        <w:t>结算电量</w:t>
      </w:r>
    </w:p>
    <w:p>
      <w:pPr>
        <w:pStyle w:val="31"/>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现货电能量交易结算以每小时的电量（或拟合电量）开展结算，月度电量由每小时电量累加得到，月度峰谷电量按照峰谷时段对</w:t>
      </w:r>
      <w:r>
        <w:rPr>
          <w:rFonts w:hint="eastAsia" w:ascii="仿宋_GB2312" w:hAnsi="仿宋_GB2312" w:eastAsia="仿宋_GB2312" w:cs="仿宋_GB2312"/>
          <w:color w:val="auto"/>
          <w:sz w:val="32"/>
          <w:szCs w:val="32"/>
          <w:highlight w:val="none"/>
          <w:lang w:val="en-US" w:eastAsia="zh-CN"/>
        </w:rPr>
        <w:t>应</w:t>
      </w:r>
      <w:r>
        <w:rPr>
          <w:rFonts w:hint="eastAsia" w:ascii="仿宋_GB2312" w:hAnsi="仿宋_GB2312" w:eastAsia="仿宋_GB2312" w:cs="仿宋_GB2312"/>
          <w:color w:val="auto"/>
          <w:sz w:val="32"/>
          <w:szCs w:val="32"/>
          <w:highlight w:val="none"/>
        </w:rPr>
        <w:t>小时电量进行累加计算。</w:t>
      </w:r>
    </w:p>
    <w:p>
      <w:pPr>
        <w:pStyle w:val="66"/>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0" w:firstLineChars="200"/>
        <w:textAlignment w:val="auto"/>
        <w:outlineLvl w:val="1"/>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lang w:val="en-US" w:eastAsia="zh-CN"/>
        </w:rPr>
        <w:t>11</w:t>
      </w:r>
      <w:r>
        <w:rPr>
          <w:rFonts w:hint="eastAsia" w:ascii="黑体" w:hAnsi="黑体" w:eastAsia="黑体" w:cs="黑体"/>
          <w:b w:val="0"/>
          <w:bCs w:val="0"/>
          <w:color w:val="auto"/>
          <w:sz w:val="32"/>
          <w:szCs w:val="32"/>
          <w:highlight w:val="none"/>
        </w:rPr>
        <w:t>规则调整生效时间与电费结算周期的衔接机制</w:t>
      </w:r>
    </w:p>
    <w:p>
      <w:pPr>
        <w:pStyle w:val="31"/>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为保障市场电费按期结算、电费资金正常周转，市场结算规则和月度结算依据发布时间原则上不作临时性调整。因国家政策变化、市场规则确需调整或遇重大节假日等影响结算流程时，可适度延后结算发布，具体以电力交易机构通知为准。原则上规则调整应在结算月次月</w:t>
      </w:r>
      <w:r>
        <w:rPr>
          <w:rFonts w:hint="eastAsia" w:ascii="仿宋_GB2312" w:hAnsi="仿宋_GB2312" w:eastAsia="仿宋_GB2312" w:cs="仿宋_GB2312"/>
          <w:color w:val="auto"/>
          <w:sz w:val="32"/>
          <w:szCs w:val="32"/>
          <w:highlight w:val="none"/>
          <w:lang w:eastAsia="zh-CN"/>
        </w:rPr>
        <w:t>5日</w:t>
      </w:r>
      <w:r>
        <w:rPr>
          <w:rFonts w:hint="eastAsia" w:ascii="仿宋_GB2312" w:hAnsi="仿宋_GB2312" w:eastAsia="仿宋_GB2312" w:cs="仿宋_GB2312"/>
          <w:color w:val="auto"/>
          <w:sz w:val="32"/>
          <w:szCs w:val="32"/>
          <w:highlight w:val="none"/>
        </w:rPr>
        <w:t>前完成相关调整文件发布，或研究后续月份结算执行方案。</w:t>
      </w:r>
    </w:p>
    <w:bookmarkEnd w:id="146"/>
    <w:bookmarkEnd w:id="147"/>
    <w:bookmarkEnd w:id="148"/>
    <w:bookmarkEnd w:id="149"/>
    <w:bookmarkEnd w:id="150"/>
    <w:bookmarkEnd w:id="151"/>
    <w:bookmarkEnd w:id="152"/>
    <w:bookmarkEnd w:id="153"/>
    <w:bookmarkEnd w:id="154"/>
    <w:p>
      <w:pPr>
        <w:pStyle w:val="35"/>
        <w:pageBreakBefore w:val="0"/>
        <w:kinsoku/>
        <w:wordWrap/>
        <w:overflowPunct/>
        <w:topLinePunct w:val="0"/>
        <w:autoSpaceDE/>
        <w:autoSpaceDN/>
        <w:bidi w:val="0"/>
        <w:adjustRightInd/>
        <w:spacing w:line="560" w:lineRule="exact"/>
        <w:ind w:firstLine="0" w:firstLineChars="0"/>
        <w:jc w:val="left"/>
        <w:outlineLvl w:val="9"/>
        <w:rPr>
          <w:rFonts w:ascii="黑体" w:hAnsi="黑体" w:eastAsia="黑体" w:cs="黑体"/>
          <w:color w:val="auto"/>
          <w:sz w:val="32"/>
          <w:szCs w:val="32"/>
          <w:highlight w:val="none"/>
        </w:rPr>
      </w:pPr>
    </w:p>
    <w:p>
      <w:pPr>
        <w:pStyle w:val="35"/>
        <w:pageBreakBefore w:val="0"/>
        <w:kinsoku/>
        <w:wordWrap/>
        <w:overflowPunct/>
        <w:topLinePunct w:val="0"/>
        <w:autoSpaceDE/>
        <w:autoSpaceDN/>
        <w:bidi w:val="0"/>
        <w:adjustRightInd/>
        <w:spacing w:line="560" w:lineRule="exact"/>
        <w:ind w:firstLine="0" w:firstLineChars="0"/>
        <w:jc w:val="left"/>
        <w:outlineLvl w:val="0"/>
        <w:rPr>
          <w:rFonts w:hint="eastAsia" w:ascii="黑体" w:hAnsi="黑体" w:eastAsia="黑体" w:cs="黑体"/>
          <w:color w:val="auto"/>
          <w:sz w:val="32"/>
          <w:szCs w:val="32"/>
          <w:highlight w:val="none"/>
        </w:rPr>
      </w:pPr>
    </w:p>
    <w:p>
      <w:pPr>
        <w:pStyle w:val="35"/>
        <w:pageBreakBefore w:val="0"/>
        <w:kinsoku/>
        <w:wordWrap/>
        <w:overflowPunct/>
        <w:topLinePunct w:val="0"/>
        <w:autoSpaceDE/>
        <w:autoSpaceDN/>
        <w:bidi w:val="0"/>
        <w:adjustRightInd/>
        <w:spacing w:line="560" w:lineRule="exact"/>
        <w:ind w:firstLine="0" w:firstLineChars="0"/>
        <w:jc w:val="left"/>
        <w:outlineLvl w:val="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附录一</w:t>
      </w:r>
    </w:p>
    <w:p>
      <w:pPr>
        <w:pStyle w:val="35"/>
        <w:pageBreakBefore w:val="0"/>
        <w:kinsoku/>
        <w:wordWrap/>
        <w:overflowPunct/>
        <w:topLinePunct w:val="0"/>
        <w:autoSpaceDE/>
        <w:autoSpaceDN/>
        <w:bidi w:val="0"/>
        <w:adjustRightInd/>
        <w:spacing w:line="560" w:lineRule="exact"/>
        <w:ind w:firstLine="0" w:firstLineChars="0"/>
        <w:jc w:val="center"/>
        <w:outlineLvl w:val="1"/>
        <w:rPr>
          <w:rFonts w:ascii="方正小标宋_GBK" w:hAnsi="方正小标宋_GBK" w:eastAsia="方正小标宋_GBK" w:cs="方正小标宋_GBK"/>
          <w:color w:val="auto"/>
          <w:sz w:val="44"/>
          <w:szCs w:val="44"/>
          <w:highlight w:val="none"/>
        </w:rPr>
      </w:pPr>
      <w:r>
        <w:rPr>
          <w:rFonts w:hint="eastAsia" w:ascii="方正小标宋_GBK" w:hAnsi="方正小标宋_GBK" w:eastAsia="方正小标宋_GBK" w:cs="方正小标宋_GBK"/>
          <w:color w:val="auto"/>
          <w:sz w:val="44"/>
          <w:szCs w:val="44"/>
          <w:highlight w:val="none"/>
        </w:rPr>
        <w:t>术语定义</w:t>
      </w:r>
    </w:p>
    <w:p>
      <w:pPr>
        <w:pStyle w:val="35"/>
        <w:pageBreakBefore w:val="0"/>
        <w:kinsoku/>
        <w:wordWrap/>
        <w:overflowPunct/>
        <w:topLinePunct w:val="0"/>
        <w:autoSpaceDE/>
        <w:autoSpaceDN/>
        <w:bidi w:val="0"/>
        <w:adjustRightInd/>
        <w:spacing w:line="560" w:lineRule="exact"/>
        <w:ind w:firstLine="0" w:firstLineChars="0"/>
        <w:jc w:val="center"/>
        <w:outlineLvl w:val="9"/>
        <w:rPr>
          <w:rFonts w:ascii="方正小标宋_GBK" w:hAnsi="方正小标宋_GBK" w:eastAsia="方正小标宋_GBK" w:cs="方正小标宋_GBK"/>
          <w:color w:val="auto"/>
          <w:sz w:val="44"/>
          <w:szCs w:val="44"/>
          <w:highlight w:val="none"/>
        </w:rPr>
      </w:pPr>
    </w:p>
    <w:p>
      <w:pPr>
        <w:pageBreakBefore w:val="0"/>
        <w:kinsoku/>
        <w:wordWrap/>
        <w:overflowPunct/>
        <w:topLinePunct w:val="0"/>
        <w:autoSpaceDE/>
        <w:autoSpaceDN/>
        <w:bidi w:val="0"/>
        <w:adjustRightInd/>
        <w:spacing w:line="560" w:lineRule="exact"/>
        <w:ind w:firstLine="640" w:firstLineChars="200"/>
        <w:rPr>
          <w:rFonts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（1）交易中心：指海南电力交易中心。</w:t>
      </w:r>
    </w:p>
    <w:p>
      <w:pPr>
        <w:pageBreakBefore w:val="0"/>
        <w:kinsoku/>
        <w:wordWrap/>
        <w:overflowPunct/>
        <w:topLinePunct w:val="0"/>
        <w:autoSpaceDE/>
        <w:autoSpaceDN/>
        <w:bidi w:val="0"/>
        <w:adjustRightInd/>
        <w:spacing w:line="560" w:lineRule="exact"/>
        <w:ind w:firstLine="640" w:firstLineChars="200"/>
        <w:rPr>
          <w:rFonts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（2）交易系统：指南方区域统一电力交易平台。</w:t>
      </w:r>
    </w:p>
    <w:p>
      <w:pPr>
        <w:pageBreakBefore w:val="0"/>
        <w:kinsoku/>
        <w:wordWrap/>
        <w:overflowPunct/>
        <w:topLinePunct w:val="0"/>
        <w:autoSpaceDE/>
        <w:autoSpaceDN/>
        <w:bidi w:val="0"/>
        <w:adjustRightInd/>
        <w:spacing w:line="560" w:lineRule="exact"/>
        <w:ind w:firstLine="640" w:firstLineChars="200"/>
        <w:rPr>
          <w:rFonts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（3）交易电量：是指根据交易规则对市场合约电量分解，形成对应交易日24时合约分时电量。</w:t>
      </w:r>
    </w:p>
    <w:p>
      <w:pPr>
        <w:pageBreakBefore w:val="0"/>
        <w:kinsoku/>
        <w:wordWrap/>
        <w:overflowPunct/>
        <w:topLinePunct w:val="0"/>
        <w:autoSpaceDE/>
        <w:autoSpaceDN/>
        <w:bidi w:val="0"/>
        <w:adjustRightInd/>
        <w:spacing w:line="560" w:lineRule="exact"/>
        <w:ind w:firstLine="640" w:firstLineChars="200"/>
        <w:rPr>
          <w:rFonts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（4）结算电费：批发用户、零售用户、售电公司或发电企业支付或获取的电能量总电费，包含电能量电费、退补电费、分摊或返还电费等。</w:t>
      </w:r>
    </w:p>
    <w:p>
      <w:pPr>
        <w:pageBreakBefore w:val="0"/>
        <w:kinsoku/>
        <w:wordWrap/>
        <w:overflowPunct/>
        <w:topLinePunct w:val="0"/>
        <w:autoSpaceDE/>
        <w:autoSpaceDN/>
        <w:bidi w:val="0"/>
        <w:adjustRightInd/>
        <w:spacing w:line="560" w:lineRule="exact"/>
        <w:ind w:firstLine="640" w:firstLineChars="200"/>
        <w:rPr>
          <w:rFonts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（5）节点边际电价：指在满足当前输电网络设备约束条件和各类</w:t>
      </w:r>
      <w:r>
        <w:rPr>
          <w:rFonts w:hint="eastAsia" w:ascii="仿宋_GB2312" w:hAnsi="仿宋_GB2312" w:eastAsia="仿宋_GB2312" w:cs="仿宋_GB2312"/>
          <w:bCs/>
          <w:color w:val="auto"/>
          <w:sz w:val="32"/>
          <w:szCs w:val="32"/>
          <w:highlight w:val="none"/>
          <w:lang w:eastAsia="zh-CN"/>
        </w:rPr>
        <w:t>其他资源</w:t>
      </w:r>
      <w:r>
        <w:rPr>
          <w:rFonts w:hint="eastAsia" w:ascii="仿宋_GB2312" w:hAnsi="仿宋_GB2312" w:eastAsia="仿宋_GB2312" w:cs="仿宋_GB2312"/>
          <w:bCs/>
          <w:color w:val="auto"/>
          <w:sz w:val="32"/>
          <w:szCs w:val="32"/>
          <w:highlight w:val="none"/>
        </w:rPr>
        <w:t>的工作特点的情况下，在某一节点增加单位负荷需求时所需要增加的边际成本，简称节点电价。节点电价由系统电能价格与阻塞价格两部分构成。</w:t>
      </w:r>
    </w:p>
    <w:p>
      <w:pPr>
        <w:pageBreakBefore w:val="0"/>
        <w:kinsoku/>
        <w:wordWrap/>
        <w:overflowPunct/>
        <w:topLinePunct w:val="0"/>
        <w:autoSpaceDE/>
        <w:autoSpaceDN/>
        <w:bidi w:val="0"/>
        <w:adjustRightInd/>
        <w:spacing w:line="560" w:lineRule="exact"/>
        <w:ind w:firstLine="640" w:firstLineChars="200"/>
        <w:rPr>
          <w:rFonts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（6）统一结算点电价：统一结算点是用于现货三部制结算的虚拟节点。现阶段，对用户侧，日前（或实时）市场的每小时统一结算点电价为海南发电侧市场化机组节点电价的加权平均价。</w:t>
      </w:r>
    </w:p>
    <w:p>
      <w:pPr>
        <w:pageBreakBefore w:val="0"/>
        <w:kinsoku/>
        <w:wordWrap/>
        <w:overflowPunct/>
        <w:topLinePunct w:val="0"/>
        <w:autoSpaceDE/>
        <w:autoSpaceDN/>
        <w:bidi w:val="0"/>
        <w:adjustRightInd/>
        <w:spacing w:line="560" w:lineRule="exact"/>
        <w:ind w:firstLine="640" w:firstLineChars="200"/>
        <w:rPr>
          <w:rFonts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（7）日前市场月度加权平均综合电价：指日前市场</w:t>
      </w:r>
      <w:r>
        <w:rPr>
          <w:rFonts w:hint="eastAsia" w:ascii="仿宋_GB2312" w:hAnsi="仿宋_GB2312" w:eastAsia="仿宋_GB2312" w:cs="仿宋_GB2312"/>
          <w:bCs/>
          <w:color w:val="auto"/>
          <w:sz w:val="32"/>
          <w:szCs w:val="32"/>
          <w:highlight w:val="none"/>
          <w:lang w:eastAsia="zh-CN"/>
        </w:rPr>
        <w:t>当月</w:t>
      </w:r>
      <w:r>
        <w:rPr>
          <w:rFonts w:hint="eastAsia" w:ascii="仿宋_GB2312" w:hAnsi="仿宋_GB2312" w:eastAsia="仿宋_GB2312" w:cs="仿宋_GB2312"/>
          <w:bCs/>
          <w:color w:val="auto"/>
          <w:sz w:val="32"/>
          <w:szCs w:val="32"/>
          <w:highlight w:val="none"/>
        </w:rPr>
        <w:t>用户各时段总电量与日前所有统一结算点电价的加权平均价。</w:t>
      </w:r>
    </w:p>
    <w:p>
      <w:pPr>
        <w:pageBreakBefore w:val="0"/>
        <w:kinsoku/>
        <w:wordWrap/>
        <w:overflowPunct/>
        <w:topLinePunct w:val="0"/>
        <w:autoSpaceDE/>
        <w:autoSpaceDN/>
        <w:bidi w:val="0"/>
        <w:adjustRightInd/>
        <w:spacing w:line="560" w:lineRule="exact"/>
        <w:ind w:firstLine="640" w:firstLineChars="200"/>
        <w:rPr>
          <w:rFonts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（8）实时市场月度加权平均综合电价：指实时市场</w:t>
      </w:r>
      <w:r>
        <w:rPr>
          <w:rFonts w:hint="eastAsia" w:ascii="仿宋_GB2312" w:hAnsi="仿宋_GB2312" w:eastAsia="仿宋_GB2312" w:cs="仿宋_GB2312"/>
          <w:bCs/>
          <w:color w:val="auto"/>
          <w:sz w:val="32"/>
          <w:szCs w:val="32"/>
          <w:highlight w:val="none"/>
          <w:lang w:eastAsia="zh-CN"/>
        </w:rPr>
        <w:t>当月</w:t>
      </w:r>
      <w:r>
        <w:rPr>
          <w:rFonts w:hint="eastAsia" w:ascii="仿宋_GB2312" w:hAnsi="仿宋_GB2312" w:eastAsia="仿宋_GB2312" w:cs="仿宋_GB2312"/>
          <w:bCs/>
          <w:color w:val="auto"/>
          <w:sz w:val="32"/>
          <w:szCs w:val="32"/>
          <w:highlight w:val="none"/>
        </w:rPr>
        <w:t>用户各时段总电量与实时统一结算点电价的加权平均价。</w:t>
      </w:r>
    </w:p>
    <w:p>
      <w:pPr>
        <w:pageBreakBefore w:val="0"/>
        <w:kinsoku/>
        <w:wordWrap/>
        <w:overflowPunct/>
        <w:topLinePunct w:val="0"/>
        <w:autoSpaceDE/>
        <w:autoSpaceDN/>
        <w:bidi w:val="0"/>
        <w:adjustRightInd/>
        <w:spacing w:line="560" w:lineRule="exact"/>
        <w:ind w:firstLine="640" w:firstLineChars="200"/>
        <w:rPr>
          <w:rFonts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（9）零售合同：指售电公司与其代理市场用户签订的明确</w:t>
      </w:r>
      <w:r>
        <w:rPr>
          <w:rFonts w:hint="eastAsia" w:ascii="仿宋_GB2312" w:hAnsi="仿宋_GB2312" w:eastAsia="仿宋_GB2312" w:cs="仿宋_GB2312"/>
          <w:bCs/>
          <w:color w:val="auto"/>
          <w:sz w:val="32"/>
          <w:szCs w:val="32"/>
          <w:highlight w:val="none"/>
          <w:lang w:eastAsia="zh-CN"/>
        </w:rPr>
        <w:t>双方权利义务以及</w:t>
      </w:r>
      <w:r>
        <w:rPr>
          <w:rFonts w:hint="eastAsia" w:ascii="仿宋_GB2312" w:hAnsi="仿宋_GB2312" w:eastAsia="仿宋_GB2312" w:cs="仿宋_GB2312"/>
          <w:bCs/>
          <w:color w:val="auto"/>
          <w:sz w:val="32"/>
          <w:szCs w:val="32"/>
          <w:highlight w:val="none"/>
        </w:rPr>
        <w:t>量、价、费等</w:t>
      </w:r>
      <w:r>
        <w:rPr>
          <w:rFonts w:hint="eastAsia" w:ascii="仿宋_GB2312" w:hAnsi="仿宋_GB2312" w:eastAsia="仿宋_GB2312" w:cs="仿宋_GB2312"/>
          <w:bCs/>
          <w:color w:val="auto"/>
          <w:sz w:val="32"/>
          <w:szCs w:val="32"/>
          <w:highlight w:val="none"/>
          <w:lang w:eastAsia="zh-CN"/>
        </w:rPr>
        <w:t>甲乙结算条款的合同</w:t>
      </w:r>
      <w:r>
        <w:rPr>
          <w:rFonts w:hint="eastAsia" w:ascii="仿宋_GB2312" w:hAnsi="仿宋_GB2312" w:eastAsia="仿宋_GB2312" w:cs="仿宋_GB2312"/>
          <w:bCs/>
          <w:color w:val="auto"/>
          <w:sz w:val="32"/>
          <w:szCs w:val="32"/>
          <w:highlight w:val="none"/>
        </w:rPr>
        <w:t>。</w:t>
      </w:r>
    </w:p>
    <w:p>
      <w:pPr>
        <w:pageBreakBefore w:val="0"/>
        <w:kinsoku/>
        <w:wordWrap/>
        <w:overflowPunct/>
        <w:topLinePunct w:val="0"/>
        <w:autoSpaceDE/>
        <w:autoSpaceDN/>
        <w:bidi w:val="0"/>
        <w:adjustRightInd/>
        <w:spacing w:line="560" w:lineRule="exact"/>
        <w:ind w:firstLine="640" w:firstLineChars="200"/>
        <w:rPr>
          <w:rFonts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（10）结算合同：指省级电网企业与售电公司签订的明确结算关系、结算计量点、结算周期等合同，或</w:t>
      </w:r>
      <w:r>
        <w:rPr>
          <w:rFonts w:hint="eastAsia" w:ascii="仿宋_GB2312" w:hAnsi="仿宋_GB2312" w:eastAsia="仿宋_GB2312" w:cs="仿宋_GB2312"/>
          <w:bCs/>
          <w:color w:val="auto"/>
          <w:sz w:val="32"/>
          <w:szCs w:val="32"/>
          <w:highlight w:val="none"/>
          <w:lang w:eastAsia="zh-CN"/>
        </w:rPr>
        <w:t>经营主体</w:t>
      </w:r>
      <w:r>
        <w:rPr>
          <w:rFonts w:hint="eastAsia" w:ascii="仿宋_GB2312" w:hAnsi="仿宋_GB2312" w:eastAsia="仿宋_GB2312" w:cs="仿宋_GB2312"/>
          <w:bCs/>
          <w:color w:val="auto"/>
          <w:sz w:val="32"/>
          <w:szCs w:val="32"/>
          <w:highlight w:val="none"/>
        </w:rPr>
        <w:t>注册时签订的结算协议条款。</w:t>
      </w:r>
    </w:p>
    <w:p>
      <w:pPr>
        <w:pageBreakBefore w:val="0"/>
        <w:kinsoku/>
        <w:wordWrap/>
        <w:overflowPunct/>
        <w:topLinePunct w:val="0"/>
        <w:autoSpaceDE/>
        <w:autoSpaceDN/>
        <w:bidi w:val="0"/>
        <w:adjustRightInd/>
        <w:spacing w:line="560" w:lineRule="exact"/>
        <w:ind w:firstLine="640" w:firstLineChars="200"/>
        <w:rPr>
          <w:rFonts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（12）电网企业：省级电网企业及其下属供电企业。</w:t>
      </w:r>
    </w:p>
    <w:p>
      <w:pPr>
        <w:pageBreakBefore w:val="0"/>
        <w:kinsoku/>
        <w:wordWrap/>
        <w:overflowPunct/>
        <w:topLinePunct w:val="0"/>
        <w:autoSpaceDE/>
        <w:autoSpaceDN/>
        <w:bidi w:val="0"/>
        <w:adjustRightInd/>
        <w:spacing w:line="560" w:lineRule="exact"/>
        <w:ind w:firstLine="640" w:firstLineChars="200"/>
        <w:rPr>
          <w:rFonts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（13）用户侧：指售电公司和直接参与批发市场的电力用户。</w:t>
      </w:r>
    </w:p>
    <w:p>
      <w:pPr>
        <w:pageBreakBefore w:val="0"/>
        <w:kinsoku/>
        <w:wordWrap/>
        <w:overflowPunct/>
        <w:topLinePunct w:val="0"/>
        <w:autoSpaceDE/>
        <w:autoSpaceDN/>
        <w:bidi w:val="0"/>
        <w:adjustRightInd/>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rPr>
        <w:t>（14）批发用户：指直接参与批发市场，向发电企业购电的电力用户。</w:t>
      </w:r>
    </w:p>
    <w:p>
      <w:pPr>
        <w:pageBreakBefore w:val="0"/>
        <w:kinsoku/>
        <w:wordWrap/>
        <w:overflowPunct/>
        <w:topLinePunct w:val="0"/>
        <w:autoSpaceDE/>
        <w:autoSpaceDN/>
        <w:bidi w:val="0"/>
        <w:adjustRightInd/>
        <w:spacing w:line="560" w:lineRule="exact"/>
        <w:ind w:firstLine="640" w:firstLineChars="200"/>
        <w:rPr>
          <w:rFonts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（15）零售用户：指通过售电公司代理参与批发市场交易的电力用户。</w:t>
      </w:r>
    </w:p>
    <w:p>
      <w:pPr>
        <w:pageBreakBefore w:val="0"/>
        <w:kinsoku/>
        <w:wordWrap/>
        <w:overflowPunct/>
        <w:topLinePunct w:val="0"/>
        <w:autoSpaceDE/>
        <w:autoSpaceDN/>
        <w:bidi w:val="0"/>
        <w:adjustRightInd/>
        <w:spacing w:line="560" w:lineRule="exact"/>
        <w:ind w:firstLine="640" w:firstLineChars="200"/>
        <w:rPr>
          <w:rFonts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（16）市场购电用户：指</w:t>
      </w:r>
      <w:r>
        <w:rPr>
          <w:rFonts w:hint="eastAsia" w:ascii="仿宋_GB2312" w:hAnsi="仿宋_GB2312" w:eastAsia="仿宋_GB2312" w:cs="仿宋_GB2312"/>
          <w:bCs/>
          <w:color w:val="auto"/>
          <w:sz w:val="32"/>
          <w:szCs w:val="32"/>
          <w:highlight w:val="none"/>
          <w:lang w:eastAsia="zh-CN"/>
        </w:rPr>
        <w:t>直接从电力市场购电（直接向发电企业或售电公司购电）的</w:t>
      </w:r>
      <w:r>
        <w:rPr>
          <w:rFonts w:hint="eastAsia" w:ascii="仿宋_GB2312" w:hAnsi="仿宋_GB2312" w:eastAsia="仿宋_GB2312" w:cs="仿宋_GB2312"/>
          <w:bCs/>
          <w:color w:val="auto"/>
          <w:sz w:val="32"/>
          <w:szCs w:val="32"/>
          <w:highlight w:val="none"/>
        </w:rPr>
        <w:t>用户。</w:t>
      </w:r>
    </w:p>
    <w:p>
      <w:pPr>
        <w:pageBreakBefore w:val="0"/>
        <w:kinsoku/>
        <w:wordWrap/>
        <w:overflowPunct/>
        <w:topLinePunct w:val="0"/>
        <w:autoSpaceDE/>
        <w:autoSpaceDN/>
        <w:bidi w:val="0"/>
        <w:adjustRightInd/>
        <w:spacing w:line="560" w:lineRule="exact"/>
        <w:ind w:firstLine="640" w:firstLineChars="200"/>
        <w:rPr>
          <w:rFonts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（16）电网代购用户：</w:t>
      </w:r>
      <w:r>
        <w:rPr>
          <w:rFonts w:hint="eastAsia" w:ascii="仿宋_GB2312" w:hAnsi="仿宋_GB2312" w:eastAsia="仿宋_GB2312" w:cs="仿宋_GB2312"/>
          <w:bCs/>
          <w:color w:val="auto"/>
          <w:sz w:val="32"/>
          <w:szCs w:val="32"/>
          <w:highlight w:val="none"/>
          <w:lang w:eastAsia="zh-CN"/>
        </w:rPr>
        <w:t>指</w:t>
      </w:r>
      <w:r>
        <w:rPr>
          <w:rFonts w:hint="eastAsia" w:ascii="仿宋_GB2312" w:hAnsi="仿宋_GB2312" w:eastAsia="仿宋_GB2312" w:cs="仿宋_GB2312"/>
          <w:bCs/>
          <w:color w:val="auto"/>
          <w:sz w:val="32"/>
          <w:szCs w:val="32"/>
          <w:highlight w:val="none"/>
        </w:rPr>
        <w:t>由电网企业代理购电的用户。</w:t>
      </w:r>
    </w:p>
    <w:p>
      <w:pPr>
        <w:pageBreakBefore w:val="0"/>
        <w:kinsoku/>
        <w:wordWrap/>
        <w:overflowPunct/>
        <w:topLinePunct w:val="0"/>
        <w:autoSpaceDE/>
        <w:autoSpaceDN/>
        <w:bidi w:val="0"/>
        <w:adjustRightInd/>
        <w:spacing w:line="560" w:lineRule="exact"/>
        <w:ind w:firstLine="640" w:firstLineChars="200"/>
        <w:rPr>
          <w:rFonts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（17）日期：本细则所指的“日清分”时间和“月结算”时间为自然日，实际操作中以交易中心发布的结算日期为准。</w:t>
      </w:r>
    </w:p>
    <w:p>
      <w:pPr>
        <w:pageBreakBefore w:val="0"/>
        <w:kinsoku/>
        <w:wordWrap/>
        <w:overflowPunct/>
        <w:topLinePunct w:val="0"/>
        <w:autoSpaceDE/>
        <w:autoSpaceDN/>
        <w:bidi w:val="0"/>
        <w:adjustRightInd/>
        <w:spacing w:line="560" w:lineRule="exact"/>
        <w:ind w:firstLine="640" w:firstLineChars="200"/>
        <w:rPr>
          <w:rFonts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（18）市场发用电量不平衡偏差电费：现货模式下，市场发电按日前市场出清电量结算，用户侧按日前申报电量结算，发用两侧结算电量存在不平衡，从而产生的偏差电费。</w:t>
      </w:r>
    </w:p>
    <w:p>
      <w:pPr>
        <w:pageBreakBefore w:val="0"/>
        <w:kinsoku/>
        <w:wordWrap/>
        <w:overflowPunct/>
        <w:topLinePunct w:val="0"/>
        <w:autoSpaceDE/>
        <w:autoSpaceDN/>
        <w:bidi w:val="0"/>
        <w:adjustRightInd/>
        <w:spacing w:line="560" w:lineRule="exact"/>
        <w:ind w:firstLine="640" w:firstLineChars="200"/>
        <w:rPr>
          <w:rFonts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（19）中长期合约：是指以多年、年、月、周及日以上为周期的合约</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rPr>
        <w:t>含市场机组的电网代购市场电量）。</w:t>
      </w:r>
    </w:p>
    <w:p>
      <w:pPr>
        <w:pageBreakBefore w:val="0"/>
        <w:kinsoku/>
        <w:wordWrap/>
        <w:overflowPunct/>
        <w:topLinePunct w:val="0"/>
        <w:autoSpaceDE/>
        <w:autoSpaceDN/>
        <w:bidi w:val="0"/>
        <w:adjustRightInd/>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rPr>
        <w:t>（20）合约阻塞电费：是指</w:t>
      </w:r>
      <w:r>
        <w:rPr>
          <w:rFonts w:hint="eastAsia" w:ascii="仿宋_GB2312" w:hAnsi="仿宋_GB2312" w:eastAsia="仿宋_GB2312" w:cs="仿宋_GB2312"/>
          <w:bCs/>
          <w:color w:val="auto"/>
          <w:sz w:val="32"/>
          <w:szCs w:val="32"/>
          <w:highlight w:val="none"/>
          <w:lang w:eastAsia="zh-CN"/>
        </w:rPr>
        <w:t>合约主体上网节点与合约电量结算参考点间的现货价格差值电费</w:t>
      </w:r>
      <w:r>
        <w:rPr>
          <w:rFonts w:hint="eastAsia" w:ascii="仿宋_GB2312" w:hAnsi="仿宋_GB2312" w:eastAsia="仿宋_GB2312" w:cs="仿宋_GB2312"/>
          <w:bCs/>
          <w:color w:val="auto"/>
          <w:sz w:val="32"/>
          <w:szCs w:val="32"/>
          <w:highlight w:val="none"/>
        </w:rPr>
        <w:t>。</w:t>
      </w:r>
    </w:p>
    <w:p>
      <w:pPr>
        <w:pageBreakBefore w:val="0"/>
        <w:kinsoku/>
        <w:wordWrap/>
        <w:overflowPunct/>
        <w:topLinePunct w:val="0"/>
        <w:autoSpaceDE/>
        <w:autoSpaceDN/>
        <w:bidi w:val="0"/>
        <w:adjustRightInd/>
        <w:spacing w:line="560" w:lineRule="exact"/>
        <w:ind w:firstLine="640" w:firstLineChars="200"/>
        <w:rPr>
          <w:rFonts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（21）电网代购市场电量：指发电企业通过参与电力批发交易或作为市场价格接受者、对应电网企业代理购电用户的市场化电量。</w:t>
      </w:r>
    </w:p>
    <w:p>
      <w:pPr>
        <w:pageBreakBefore w:val="0"/>
        <w:kinsoku/>
        <w:wordWrap/>
        <w:overflowPunct/>
        <w:topLinePunct w:val="0"/>
        <w:autoSpaceDE/>
        <w:autoSpaceDN/>
        <w:bidi w:val="0"/>
        <w:adjustRightInd/>
        <w:spacing w:line="560" w:lineRule="exact"/>
        <w:ind w:firstLine="640" w:firstLineChars="200"/>
        <w:rPr>
          <w:rFonts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（22）中长期交易电量正负符号定义：发电侧卖出电量为正、买入电量为负；用户侧买入电量为正、卖出电量为负。</w:t>
      </w:r>
    </w:p>
    <w:p>
      <w:pPr>
        <w:pageBreakBefore w:val="0"/>
        <w:kinsoku/>
        <w:wordWrap/>
        <w:overflowPunct/>
        <w:topLinePunct w:val="0"/>
        <w:autoSpaceDE/>
        <w:autoSpaceDN/>
        <w:bidi w:val="0"/>
        <w:adjustRightInd/>
        <w:spacing w:line="560" w:lineRule="exact"/>
        <w:rPr>
          <w:rFonts w:ascii="仿宋_GB2312" w:hAnsi="仿宋_GB2312" w:eastAsia="仿宋_GB2312" w:cs="仿宋_GB2312"/>
          <w:bCs/>
          <w:color w:val="auto"/>
          <w:sz w:val="32"/>
          <w:szCs w:val="32"/>
          <w:highlight w:val="none"/>
        </w:rPr>
      </w:pPr>
    </w:p>
    <w:p>
      <w:pPr>
        <w:rPr>
          <w:color w:val="auto"/>
          <w:highlight w:val="none"/>
        </w:rPr>
      </w:pPr>
      <w:r>
        <w:rPr>
          <w:color w:val="auto"/>
          <w:highlight w:val="none"/>
        </w:rPr>
        <w:br w:type="page"/>
      </w:r>
    </w:p>
    <w:p>
      <w:pPr>
        <w:pStyle w:val="35"/>
        <w:pageBreakBefore w:val="0"/>
        <w:kinsoku/>
        <w:wordWrap/>
        <w:overflowPunct/>
        <w:topLinePunct w:val="0"/>
        <w:autoSpaceDE/>
        <w:autoSpaceDN/>
        <w:bidi w:val="0"/>
        <w:adjustRightInd/>
        <w:spacing w:line="560" w:lineRule="exact"/>
        <w:ind w:firstLine="0" w:firstLineChars="0"/>
        <w:jc w:val="left"/>
        <w:outlineLvl w:val="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附录二</w:t>
      </w:r>
    </w:p>
    <w:p>
      <w:pPr>
        <w:pStyle w:val="35"/>
        <w:pageBreakBefore w:val="0"/>
        <w:kinsoku/>
        <w:wordWrap/>
        <w:overflowPunct/>
        <w:topLinePunct w:val="0"/>
        <w:autoSpaceDE/>
        <w:autoSpaceDN/>
        <w:bidi w:val="0"/>
        <w:adjustRightInd/>
        <w:spacing w:line="560" w:lineRule="exact"/>
        <w:ind w:firstLine="0" w:firstLineChars="0"/>
        <w:jc w:val="center"/>
        <w:outlineLvl w:val="1"/>
        <w:rPr>
          <w:rFonts w:hint="eastAsia" w:ascii="方正小标宋_GBK" w:hAnsi="方正小标宋_GBK" w:eastAsia="方正小标宋_GBK" w:cs="方正小标宋_GBK"/>
          <w:color w:val="auto"/>
          <w:sz w:val="44"/>
          <w:szCs w:val="44"/>
          <w:highlight w:val="none"/>
        </w:rPr>
      </w:pPr>
      <w:r>
        <w:rPr>
          <w:rFonts w:hint="eastAsia" w:ascii="方正小标宋_GBK" w:hAnsi="方正小标宋_GBK" w:eastAsia="方正小标宋_GBK" w:cs="方正小标宋_GBK"/>
          <w:color w:val="auto"/>
          <w:sz w:val="44"/>
          <w:szCs w:val="44"/>
          <w:highlight w:val="none"/>
        </w:rPr>
        <w:t>计量电量拟合规则</w:t>
      </w:r>
    </w:p>
    <w:p>
      <w:pPr>
        <w:pageBreakBefore w:val="0"/>
        <w:kinsoku/>
        <w:wordWrap/>
        <w:overflowPunct/>
        <w:topLinePunct w:val="0"/>
        <w:autoSpaceDE/>
        <w:autoSpaceDN/>
        <w:bidi w:val="0"/>
        <w:adjustRightInd/>
        <w:spacing w:line="560" w:lineRule="exact"/>
        <w:rPr>
          <w:rFonts w:ascii="仿宋_GB2312" w:hAnsi="仿宋_GB2312" w:eastAsia="仿宋_GB2312" w:cs="仿宋_GB2312"/>
          <w:bCs/>
          <w:color w:val="auto"/>
          <w:sz w:val="32"/>
          <w:szCs w:val="32"/>
          <w:highlight w:val="none"/>
        </w:rPr>
      </w:pP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对于参与市场的用户及发电企业，</w:t>
      </w:r>
      <w:r>
        <w:rPr>
          <w:rFonts w:hint="eastAsia" w:ascii="仿宋_GB2312" w:hAnsi="仿宋_GB2312" w:eastAsia="仿宋_GB2312" w:cs="仿宋_GB2312"/>
          <w:bCs/>
          <w:color w:val="auto"/>
          <w:sz w:val="32"/>
          <w:szCs w:val="32"/>
          <w:highlight w:val="none"/>
          <w:lang w:eastAsia="zh-CN"/>
        </w:rPr>
        <w:t>截至</w:t>
      </w:r>
      <w:r>
        <w:rPr>
          <w:rFonts w:hint="eastAsia" w:ascii="仿宋_GB2312" w:hAnsi="仿宋_GB2312" w:eastAsia="仿宋_GB2312" w:cs="仿宋_GB2312"/>
          <w:bCs/>
          <w:color w:val="auto"/>
          <w:sz w:val="32"/>
          <w:szCs w:val="32"/>
          <w:highlight w:val="none"/>
        </w:rPr>
        <w:t>D+2天12:00时，计量系统仍无法采集到其电表数据时，则由电网公司提供电量拟合数据用于市场化结算，拟合规则如下：</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一、高压用户及发电企业</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1.当主表采集失败无表码数据时，如副表采集成功有表码数据，则所缺表码数据采用副表行度进行近似拟合，如主表6:00表码缺失，副表5:00、6:00表码未缺失，主表6:00表码=主表5:00表码+（副表6:00表码-副表5:00表码），需从00:00表码开始扫描是否存在缺点，进行拟合。</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2.当双表采集失败无电量数据时，且连续时间点内缺点数小于等于2小时，属非换表事件的取主表缺点区间内前后时间点的区间电量算术平均值做为电量拟合值，属换表事件的则按换表事件拟合处理。</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3.当双表采集失败无电量数据时，且连续时间点内缺点数大于等于3个时，但不超过D+1日 0 点：</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（1）属于暂停、自停、停电的,若停电时间区间内存在度差，则度差值作为区间内第一个点的拟合电量，区间内</w:t>
      </w:r>
      <w:r>
        <w:rPr>
          <w:rFonts w:hint="eastAsia" w:ascii="仿宋_GB2312" w:hAnsi="仿宋_GB2312" w:eastAsia="仿宋_GB2312" w:cs="仿宋_GB2312"/>
          <w:bCs/>
          <w:color w:val="auto"/>
          <w:sz w:val="32"/>
          <w:szCs w:val="32"/>
          <w:highlight w:val="none"/>
          <w:lang w:eastAsia="zh-CN"/>
        </w:rPr>
        <w:t>其他</w:t>
      </w:r>
      <w:r>
        <w:rPr>
          <w:rFonts w:hint="eastAsia" w:ascii="仿宋_GB2312" w:hAnsi="仿宋_GB2312" w:eastAsia="仿宋_GB2312" w:cs="仿宋_GB2312"/>
          <w:bCs/>
          <w:color w:val="auto"/>
          <w:sz w:val="32"/>
          <w:szCs w:val="32"/>
          <w:highlight w:val="none"/>
        </w:rPr>
        <w:t>点按0电量拟合处理；若无度差，则区间内所有点按0电量拟合处理。</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2）属于非暂停、非自停、非停电的，根据同日期属性（详见日期属性说明）历史电量（以下简称“历史电量”）比例分摊区间总电量，如历史电量为0，则取主表缺点总区间内前后时间点的小时电量算术平均值作为区间内所有点电量拟合值。</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4.当双表采集失败无电量数据时，且连续时间点内缺点数大于等于3个时，超过D+1日 0 点：</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（1）属于暂停、自停、停电,按0电量拟合处理。</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（2）属于非暂停、非自停、非停电，按历史电量拟合处理，若历史电量不存在，则使用近7天每小时的平均电量拟合</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rPr>
        <w:t>下同</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rPr>
        <w:t>。</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5.由于台风、洪涝等原因无法及时获知用户实际现场是否正常用电情况，则以工作日、双休日、节假日的日期属性按以上规则进行拟合。</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6.采用拟合电量数据进行结算，如跨越结算期重新获得电表实际表码，且当日拟合总电量偏差超过实际电量±10%时，则按照电量追补原则进行处理。</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7.由于换表期间造成表码缺失，根据换表起止时间，若换表前最后一个整点表码缺失，则将旧表止码替换为该点表码；若换表后第一个整点表码缺失，则将新表起码替换为该点表码。</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8.在存在相关营销工单情况下，计量系统根据营销工单中的现场截止表码替换相应时刻的表码数据，并将新表码推送至营销系统（备注：目前计量系统支持替换表码的营销工单类型有：换表、销户、增容、减容、计量点新装、拆除、营销暂停、非永久性减容）。</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9.针对用户每月1日0点的小时数据（包括：实时数据、负荷曲线数据），采用计量系统月冻结数据进行替换，确保小时累计电量与月度电量保持一致。如果计量系统月冻结缺数，营销系统应反送月结的手工表码数据（人工手抄、点抄等），计量自动化系统根据手工抄表数据进行拟合重算。</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10.经计算后的拟合电量需转换成拟合表码数据进行推送。转换原则：拟合表码=基准初始表码+（拟合电量/综合倍率）。如用户缺少基准初始表码依然推送拟合电量至营销。</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11.按旬进行电量的区间修正。每月2日修正上一整月的表码数据，每月10日、20日、30日分别修正1-8日、1-18日、1-28日的表码数据，并将更新的表码数据推送至营销系统。其中，2月份只在2日、10日、20日进行表码修正。</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二、低压用户</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1.按照现有低压集抄采集模式，对于低压用户数据按日进行采集。</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2.结合不同行业用电特性，可制定用户小时典型负荷曲线。对计量自动化系统采集日电量数据，按小时典型负荷曲线分解拟合至小时形成小时电量。若无典型负荷曲线，均分日电量形成小时电量。</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3.低压日数据缺数情况下，按照最近一个有电量采集日的日电量数据进行拟合。</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4.分时电量累计值原则上应与用于月结算的总抄表电量保持一致。各费率时段尖、峰、平、谷电量以对应时段的小时电量累加计算。</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三、发电企业</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1.当发电企业具备独立机组分时计量条件时，参照高压用户拟合规则进行电量数据拟合。</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2.当发电</w:t>
      </w:r>
      <w:r>
        <w:rPr>
          <w:rFonts w:hint="eastAsia" w:ascii="仿宋_GB2312" w:hAnsi="仿宋_GB2312" w:eastAsia="仿宋_GB2312" w:cs="仿宋_GB2312"/>
          <w:bCs/>
          <w:color w:val="auto"/>
          <w:sz w:val="32"/>
          <w:szCs w:val="32"/>
          <w:highlight w:val="none"/>
          <w:lang w:eastAsia="zh-CN"/>
        </w:rPr>
        <w:t>企业</w:t>
      </w:r>
      <w:r>
        <w:rPr>
          <w:rFonts w:hint="eastAsia" w:ascii="仿宋_GB2312" w:hAnsi="仿宋_GB2312" w:eastAsia="仿宋_GB2312" w:cs="仿宋_GB2312"/>
          <w:bCs/>
          <w:color w:val="auto"/>
          <w:sz w:val="32"/>
          <w:szCs w:val="32"/>
          <w:highlight w:val="none"/>
        </w:rPr>
        <w:t>暂不具备独立机组分时计量条件时，采用以下原则对机组电量进行拟合：电网企业根据发电企业各机组发电出口侧计量表日电量数据占结算关口日总电量的比例计算出各机组日电量，再通过实际发电时间均分形成小时电量。</w:t>
      </w:r>
    </w:p>
    <w:p>
      <w:pP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br w:type="page"/>
      </w:r>
    </w:p>
    <w:p>
      <w:pPr>
        <w:pStyle w:val="35"/>
        <w:pageBreakBefore w:val="0"/>
        <w:kinsoku/>
        <w:wordWrap/>
        <w:overflowPunct/>
        <w:topLinePunct w:val="0"/>
        <w:autoSpaceDE/>
        <w:autoSpaceDN/>
        <w:bidi w:val="0"/>
        <w:adjustRightInd/>
        <w:spacing w:line="560" w:lineRule="exact"/>
        <w:ind w:firstLine="0" w:firstLineChars="0"/>
        <w:jc w:val="left"/>
        <w:outlineLvl w:val="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附录三</w:t>
      </w:r>
    </w:p>
    <w:p>
      <w:pPr>
        <w:pStyle w:val="35"/>
        <w:pageBreakBefore w:val="0"/>
        <w:kinsoku/>
        <w:wordWrap/>
        <w:overflowPunct/>
        <w:topLinePunct w:val="0"/>
        <w:autoSpaceDE/>
        <w:autoSpaceDN/>
        <w:bidi w:val="0"/>
        <w:adjustRightInd/>
        <w:spacing w:line="560" w:lineRule="exact"/>
        <w:ind w:firstLine="0" w:firstLineChars="0"/>
        <w:jc w:val="center"/>
        <w:outlineLvl w:val="1"/>
        <w:rPr>
          <w:rFonts w:hint="eastAsia" w:ascii="方正小标宋_GBK" w:hAnsi="方正小标宋_GBK" w:eastAsia="方正小标宋_GBK" w:cs="方正小标宋_GBK"/>
          <w:color w:val="auto"/>
          <w:sz w:val="44"/>
          <w:szCs w:val="44"/>
          <w:highlight w:val="none"/>
        </w:rPr>
      </w:pPr>
      <w:r>
        <w:rPr>
          <w:rFonts w:hint="eastAsia" w:ascii="方正小标宋_GBK" w:hAnsi="方正小标宋_GBK" w:eastAsia="方正小标宋_GBK" w:cs="方正小标宋_GBK"/>
          <w:color w:val="auto"/>
          <w:sz w:val="44"/>
          <w:szCs w:val="44"/>
          <w:highlight w:val="none"/>
        </w:rPr>
        <w:t>计量电量拟合补充说明</w:t>
      </w:r>
    </w:p>
    <w:p>
      <w:pPr>
        <w:pageBreakBefore w:val="0"/>
        <w:kinsoku/>
        <w:wordWrap/>
        <w:overflowPunct/>
        <w:topLinePunct w:val="0"/>
        <w:autoSpaceDE/>
        <w:autoSpaceDN/>
        <w:bidi w:val="0"/>
        <w:adjustRightInd/>
        <w:spacing w:line="560" w:lineRule="exact"/>
        <w:rPr>
          <w:rFonts w:hint="eastAsia" w:ascii="仿宋_GB2312" w:hAnsi="仿宋_GB2312" w:eastAsia="仿宋_GB2312" w:cs="仿宋_GB2312"/>
          <w:bCs/>
          <w:color w:val="auto"/>
          <w:sz w:val="32"/>
          <w:szCs w:val="32"/>
          <w:highlight w:val="none"/>
        </w:rPr>
      </w:pP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一、日期属性及详细说明：</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1.日期属性</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日期属性分为三种：工作日、双休日、国家法定节假日。其中节假日分为小长假（元旦、五一、清明等）和大长假（春节、国庆）两类；每天内的时间区段定义为（D日1:00-D+1日0:00），即D+1号0:00点数据为定义为D号24点数据。</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2.详细说明：</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（1）如果缺点时间段区间在工作日内，按上一个月份工作日数据的平均值拟合处理，即5月22日（星期二）1:00-2:00缺数,以4月份每个工作日1:00-2:00数的平均值进行拟合。</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（2）如果缺点时间段区间在双休日内，按上一个月份双休日区间数据的平均值拟合处理；如：2018年6月9日（周六）2:00-3:00缺数，则用2018年5月每个周六、日2:00-3:00数据的平均值进行拟合。</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3）如果缺点时间段区间在法定节假日内，按最近一个同类型节假日区间数据拟合处理。其中：节假日分为小长假（元旦、五一、清明、端午、中秋等）和大长假（春节、国庆）两类，小长假数据参照最近三个同类假期的数据均值拟合处理，大长假数据取上年同类假期数据均值拟合处理。无历史类比数据的参照上一个假期日数据均值拟合处理。</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第一种情况：2018年6月17日（端午）2:00-3:00缺数，则取2018年元旦、清明、五一假期（3个小长假）2:00-3:00数据的平均值拟合处理。</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第二种情况：2018年6月17日（端午）2:00-3:00缺数，若该用户在2018年1月10日后建档，则取2018年清明、五一假期（2个小长假）2:00-3:00数据的平均值拟合处理。若该用户在2018年4月15日后建档，则取2018年五一假期（1个小长假）2:00-3:00数据的平均值拟合处理。</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第三种情况：2018年10月2日（国庆）2:00-3:00缺数，则用2017年10月国庆7天2:00-3:00数据的平均值拟合处理。第四种情况：2018年10月2日（国庆）2:00-3:00缺数，若该用户2018年1月1日后才建档，不存在2017年国庆7天的数据，则用2018年春节期间2:00-3:00数据的平均值拟合处理；若该用户2018年5月1日后才建档，不存在2017年国庆与2018年春节的数据，则用2018年中秋节期间2:00-3:00数据的平均值拟合处理。</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（4）缺点时间段区间在横跨工作日/双休日和法定节假日时间段内，则先将该区间段工作日/双休日和法定节假日分开，再分别按上述工作日/双休日、去年法定节假日的数据拟合处理。</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二、规则解释及补充</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1.全部以正向有功总数据项进行缺数判断。</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2.国家法定节假日：以每年国务院公开颁布的法定节假日为准，分为小长假（元旦、清明、五一、端午、中秋）和大长假（春节、国庆）两类。</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3.现货数据发布（含拟合电量）取数优先级：主终端主表表码备终端主表表码主终端副表电量备终端副表电量主表的区间电量或历史电量。</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4.连续缺点数的判断范围遵循“前三后三”原则。以D日为例，连续缺点数判断范围从D日的0点往前推3个小时点（即：D-1日21点），一直到D日23:00及往后顺推3个小时（即：D+1日2点）截止。如：计量系统是按日推送数据至营销，如果用户在1:00缺数、2:00不缺数，在考虑1:00-2:00间的拟合电量时，应从1:00往前追溯确定缺数点是否超过3个，以确定拟合电量的类型（平均值、历史电量比例、历史电量等）。</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5.使用历史电量数据进行拟合的（基础表码及小时电量增加异常标志，拟合中不参考有异常标志的数据）,如历史电量不存在，使用近7天每小时的平均电量进行拟合，仍未能拟合成功的，则直接拟合为0电量。</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6.（拟合）电量采用前时标记录电量时标，如：2点表码-1点表码=1点（拟合）电量。拟合电量数应为连续缺点数（N）+1，如：某天2:00缺失1个表码，需要拟合1:00-2:00及2:00-3:00的2个电量；某天2:00和3:00缺失表码，则应同时拟合1:00-2:00，2:00-3:00和3:00-4:00的3个电量，以此类推。</w:t>
      </w:r>
    </w:p>
    <w:p>
      <w:pPr>
        <w:pageBreakBefore w:val="0"/>
        <w:kinsoku/>
        <w:wordWrap/>
        <w:overflowPunct/>
        <w:topLinePunct w:val="0"/>
        <w:autoSpaceDE/>
        <w:autoSpaceDN/>
        <w:bidi w:val="0"/>
        <w:adjustRightInd/>
        <w:spacing w:line="560" w:lineRule="exact"/>
        <w:rPr>
          <w:rFonts w:hint="eastAsia" w:ascii="仿宋_GB2312" w:hAnsi="仿宋_GB2312" w:eastAsia="仿宋_GB2312" w:cs="仿宋_GB2312"/>
          <w:bCs/>
          <w:color w:val="auto"/>
          <w:sz w:val="32"/>
          <w:szCs w:val="32"/>
          <w:highlight w:val="none"/>
        </w:rPr>
      </w:pPr>
    </w:p>
    <w:sectPr>
      <w:headerReference r:id="rId3" w:type="default"/>
      <w:footerReference r:id="rId4" w:type="default"/>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996A029-C985-4B15-8944-604B0C182BE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embedRegular r:id="rId2" w:fontKey="{77C080A4-E49F-4260-95A7-0B003C4FD362}"/>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embedRegular r:id="rId3" w:fontKey="{A0C20C46-9EA9-48B7-9446-5972853739E1}"/>
  </w:font>
  <w:font w:name="方正小标宋_GBK">
    <w:panose1 w:val="03000509000000000000"/>
    <w:charset w:val="86"/>
    <w:family w:val="auto"/>
    <w:pitch w:val="default"/>
    <w:sig w:usb0="00000001" w:usb1="080E0000" w:usb2="00000000" w:usb3="00000000" w:csb0="00040000" w:csb1="00000000"/>
    <w:embedRegular r:id="rId4" w:fontKey="{5AB901AA-4CF3-4296-915F-54E6671682E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8"/>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Y59gIxAgAAZA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2OfYCMQIAAGQEAAAOAAAAAAAAAAEAIAAAAB8BAABkcnMvZTJvRG9jLnhtbFBLBQYA&#10;AAAABgAGAFkBAADCBQ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26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single" w:color="auto" w:sz="4" w:space="1"/>
      </w:pBdr>
      <w:jc w:val="center"/>
      <w:rPr>
        <w:rFonts w:hint="eastAsia" w:ascii="黑体" w:hAnsi="黑体" w:eastAsia="黑体" w:cs="黑体"/>
        <w:sz w:val="18"/>
        <w:szCs w:val="18"/>
        <w:lang w:eastAsia="zh-CN"/>
      </w:rPr>
    </w:pPr>
    <w:r>
      <w:rPr>
        <w:rFonts w:hint="eastAsia" w:ascii="黑体" w:hAnsi="黑体" w:eastAsia="黑体" w:cs="黑体"/>
        <w:sz w:val="18"/>
        <w:szCs w:val="18"/>
      </w:rPr>
      <w:t>海南电力市场结算实施细则（试运行</w:t>
    </w:r>
    <w:r>
      <w:rPr>
        <w:rFonts w:hint="eastAsia" w:ascii="黑体" w:hAnsi="黑体" w:eastAsia="黑体" w:cs="黑体"/>
        <w:sz w:val="18"/>
        <w:szCs w:val="18"/>
        <w:lang w:val="en-US" w:eastAsia="zh-CN"/>
      </w:rPr>
      <w:t>3</w:t>
    </w:r>
    <w:r>
      <w:rPr>
        <w:rFonts w:hint="eastAsia" w:ascii="黑体" w:hAnsi="黑体" w:eastAsia="黑体" w:cs="黑体"/>
        <w:sz w:val="18"/>
        <w:szCs w:val="18"/>
      </w:rPr>
      <w:t>.0版）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CEB78E"/>
    <w:multiLevelType w:val="multilevel"/>
    <w:tmpl w:val="AACEB78E"/>
    <w:lvl w:ilvl="0" w:tentative="0">
      <w:start w:val="2"/>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1407" w:hanging="567"/>
      </w:pPr>
      <w:rPr>
        <w:rFonts w:hint="default" w:ascii="仿宋_GB2312" w:hAnsi="仿宋_GB2312" w:eastAsia="仿宋_GB2312" w:cs="仿宋_GB2312"/>
        <w:sz w:val="32"/>
        <w:szCs w:val="32"/>
      </w:rPr>
    </w:lvl>
    <w:lvl w:ilvl="2" w:tentative="0">
      <w:start w:val="1"/>
      <w:numFmt w:val="decimal"/>
      <w:lvlText w:val="%1.%2.%3"/>
      <w:lvlJc w:val="left"/>
      <w:pPr>
        <w:ind w:left="709" w:hanging="709"/>
      </w:pPr>
      <w:rPr>
        <w:rFonts w:hint="default" w:ascii="仿宋_GB2312" w:hAnsi="仿宋_GB2312" w:eastAsia="仿宋_GB2312" w:cs="仿宋_GB2312"/>
        <w:sz w:val="32"/>
        <w:szCs w:val="32"/>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DDAE3AA7"/>
    <w:multiLevelType w:val="multilevel"/>
    <w:tmpl w:val="DDAE3AA7"/>
    <w:lvl w:ilvl="0" w:tentative="0">
      <w:start w:val="1"/>
      <w:numFmt w:val="upperLetter"/>
      <w:lvlText w:val="附录%1"/>
      <w:lvlJc w:val="left"/>
      <w:pPr>
        <w:ind w:left="432" w:hanging="432"/>
      </w:pPr>
      <w:rPr>
        <w:rFonts w:hint="default" w:ascii="宋体" w:hAnsi="宋体" w:eastAsia="宋体" w:cs="宋体"/>
      </w:rPr>
    </w:lvl>
    <w:lvl w:ilvl="1" w:tentative="0">
      <w:start w:val="1"/>
      <w:numFmt w:val="decimal"/>
      <w:isLgl/>
      <w:lvlText w:val="%2."/>
      <w:lvlJc w:val="left"/>
      <w:pPr>
        <w:ind w:left="575" w:hanging="575"/>
      </w:pPr>
      <w:rPr>
        <w:rFonts w:hint="default" w:ascii="宋体" w:hAnsi="宋体" w:eastAsia="宋体" w:cs="宋体"/>
      </w:rPr>
    </w:lvl>
    <w:lvl w:ilvl="2" w:tentative="0">
      <w:start w:val="1"/>
      <w:numFmt w:val="decimal"/>
      <w:lvlText w:val="%2.%3."/>
      <w:lvlJc w:val="left"/>
      <w:pPr>
        <w:ind w:left="720" w:hanging="720"/>
      </w:pPr>
      <w:rPr>
        <w:rFonts w:hint="default" w:ascii="宋体" w:hAnsi="宋体" w:eastAsia="宋体" w:cs="宋体"/>
      </w:rPr>
    </w:lvl>
    <w:lvl w:ilvl="3" w:tentative="0">
      <w:start w:val="1"/>
      <w:numFmt w:val="decimal"/>
      <w:pStyle w:val="55"/>
      <w:lvlText w:val="%2.%3.%4."/>
      <w:lvlJc w:val="left"/>
      <w:pPr>
        <w:ind w:left="1290" w:hanging="864"/>
      </w:pPr>
      <w:rPr>
        <w:rFonts w:hint="default" w:ascii="宋体" w:hAnsi="宋体" w:eastAsia="宋体" w:cs="宋体"/>
      </w:rPr>
    </w:lvl>
    <w:lvl w:ilvl="4" w:tentative="0">
      <w:start w:val="1"/>
      <w:numFmt w:val="decimal"/>
      <w:lvlText w:val="%2.%3.%4.%5."/>
      <w:lvlJc w:val="left"/>
      <w:pPr>
        <w:ind w:left="1008" w:hanging="1008"/>
      </w:pPr>
      <w:rPr>
        <w:rFonts w:hint="default" w:ascii="宋体" w:hAnsi="宋体" w:eastAsia="宋体" w:cs="宋体"/>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2">
    <w:nsid w:val="00000001"/>
    <w:multiLevelType w:val="multilevel"/>
    <w:tmpl w:val="00000001"/>
    <w:lvl w:ilvl="0" w:tentative="0">
      <w:start w:val="1"/>
      <w:numFmt w:val="bullet"/>
      <w:lvlText w:val=""/>
      <w:lvlJc w:val="left"/>
      <w:pPr>
        <w:ind w:left="420" w:hanging="420"/>
      </w:pPr>
      <w:rPr>
        <w:rFonts w:hint="default" w:ascii="Wingdings" w:hAnsi="Wingdings"/>
      </w:rPr>
    </w:lvl>
    <w:lvl w:ilvl="1" w:tentative="0">
      <w:start w:val="1"/>
      <w:numFmt w:val="bullet"/>
      <w:pStyle w:val="33"/>
      <w:lvlText w:val=""/>
      <w:lvlJc w:val="left"/>
      <w:pPr>
        <w:ind w:left="840" w:hanging="420"/>
      </w:pPr>
      <w:rPr>
        <w:rFonts w:hint="default" w:ascii="Wingdings" w:hAnsi="Wingdings"/>
      </w:rPr>
    </w:lvl>
    <w:lvl w:ilvl="2" w:tentative="0">
      <w:start w:val="1"/>
      <w:numFmt w:val="bullet"/>
      <w:pStyle w:val="42"/>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000000D"/>
    <w:multiLevelType w:val="multilevel"/>
    <w:tmpl w:val="0000000D"/>
    <w:lvl w:ilvl="0" w:tentative="0">
      <w:start w:val="1"/>
      <w:numFmt w:val="decimal"/>
      <w:pStyle w:val="41"/>
      <w:suff w:val="space"/>
      <w:lvlText w:val="%1."/>
      <w:lvlJc w:val="left"/>
      <w:pPr>
        <w:ind w:left="425" w:hanging="425"/>
      </w:pPr>
      <w:rPr>
        <w:rFonts w:hint="default" w:ascii="仿宋" w:hAnsi="仿宋" w:eastAsia="仿宋" w:cs="Arial"/>
      </w:rPr>
    </w:lvl>
    <w:lvl w:ilvl="1" w:tentative="0">
      <w:start w:val="1"/>
      <w:numFmt w:val="decimal"/>
      <w:pStyle w:val="32"/>
      <w:suff w:val="space"/>
      <w:lvlText w:val="%1.%2."/>
      <w:lvlJc w:val="left"/>
      <w:pPr>
        <w:ind w:left="851" w:hanging="567"/>
      </w:pPr>
      <w:rPr>
        <w:rFonts w:hint="eastAsia"/>
      </w:rPr>
    </w:lvl>
    <w:lvl w:ilvl="2" w:tentative="0">
      <w:start w:val="1"/>
      <w:numFmt w:val="decimal"/>
      <w:suff w:val="space"/>
      <w:lvlText w:val="%1.%2.%3."/>
      <w:lvlJc w:val="left"/>
      <w:pPr>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00A4B5CA"/>
    <w:multiLevelType w:val="multilevel"/>
    <w:tmpl w:val="00A4B5CA"/>
    <w:lvl w:ilvl="0" w:tentative="0">
      <w:start w:val="1"/>
      <w:numFmt w:val="decimal"/>
      <w:lvlText w:val="%1"/>
      <w:lvlJc w:val="left"/>
      <w:pPr>
        <w:ind w:left="-13" w:hanging="425"/>
      </w:pPr>
      <w:rPr>
        <w:rFonts w:hint="default" w:ascii="宋体" w:hAnsi="宋体" w:eastAsia="宋体" w:cs="宋体"/>
        <w:b/>
        <w:bCs/>
      </w:rPr>
    </w:lvl>
    <w:lvl w:ilvl="1" w:tentative="0">
      <w:start w:val="1"/>
      <w:numFmt w:val="decimal"/>
      <w:lvlText w:val="%1.%2"/>
      <w:lvlJc w:val="left"/>
      <w:pPr>
        <w:ind w:left="567" w:hanging="567"/>
      </w:pPr>
      <w:rPr>
        <w:rFonts w:hint="default" w:ascii="仿宋_GB2312" w:hAnsi="仿宋_GB2312" w:eastAsia="仿宋_GB2312" w:cs="仿宋_GB2312"/>
        <w:b/>
        <w:bCs/>
      </w:rPr>
    </w:lvl>
    <w:lvl w:ilvl="2" w:tentative="0">
      <w:start w:val="1"/>
      <w:numFmt w:val="decimal"/>
      <w:lvlText w:val="%1.%2.%3"/>
      <w:lvlJc w:val="left"/>
      <w:pPr>
        <w:ind w:left="709" w:hanging="709"/>
      </w:pPr>
      <w:rPr>
        <w:rFonts w:hint="default" w:ascii="宋体" w:hAnsi="宋体" w:eastAsia="宋体" w:cs="宋体"/>
        <w:color w:val="auto"/>
      </w:rPr>
    </w:lvl>
    <w:lvl w:ilvl="3" w:tentative="0">
      <w:start w:val="1"/>
      <w:numFmt w:val="decimal"/>
      <w:lvlText w:val="%1.%2.%3.%4"/>
      <w:lvlJc w:val="left"/>
      <w:pPr>
        <w:ind w:left="850" w:hanging="850"/>
      </w:pPr>
      <w:rPr>
        <w:rFonts w:hint="default" w:ascii="宋体" w:hAnsi="宋体" w:eastAsia="宋体" w:cs="宋体"/>
      </w:rPr>
    </w:lvl>
    <w:lvl w:ilvl="4" w:tentative="0">
      <w:start w:val="1"/>
      <w:numFmt w:val="decimal"/>
      <w:lvlText w:val="%1.%2.%3.%4.%5"/>
      <w:lvlJc w:val="left"/>
      <w:pPr>
        <w:ind w:left="991" w:hanging="991"/>
      </w:pPr>
      <w:rPr>
        <w:rFonts w:hint="default" w:ascii="宋体" w:hAnsi="宋体" w:eastAsia="宋体" w:cs="宋体"/>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19721AD1"/>
    <w:multiLevelType w:val="multilevel"/>
    <w:tmpl w:val="19721AD1"/>
    <w:lvl w:ilvl="0" w:tentative="0">
      <w:start w:val="1"/>
      <w:numFmt w:val="decimal"/>
      <w:pStyle w:val="65"/>
      <w:lvlText w:val="%1"/>
      <w:lvlJc w:val="left"/>
      <w:pPr>
        <w:ind w:left="0" w:firstLine="0"/>
      </w:pPr>
      <w:rPr>
        <w:rFonts w:hint="default" w:ascii="黑体" w:hAnsi="黑体" w:eastAsia="黑体" w:cs="黑体"/>
        <w:sz w:val="32"/>
        <w:szCs w:val="32"/>
      </w:rPr>
    </w:lvl>
    <w:lvl w:ilvl="1" w:tentative="0">
      <w:start w:val="1"/>
      <w:numFmt w:val="decimal"/>
      <w:pStyle w:val="66"/>
      <w:lvlText w:val="%1.%2"/>
      <w:lvlJc w:val="left"/>
      <w:pPr>
        <w:ind w:left="0" w:firstLine="0"/>
      </w:pPr>
      <w:rPr>
        <w:rFonts w:hint="eastAsia" w:eastAsia="楷体_GB2312"/>
        <w:sz w:val="32"/>
      </w:rPr>
    </w:lvl>
    <w:lvl w:ilvl="2" w:tentative="0">
      <w:start w:val="1"/>
      <w:numFmt w:val="decimal"/>
      <w:pStyle w:val="67"/>
      <w:lvlText w:val="%1.%2.%3"/>
      <w:lvlJc w:val="left"/>
      <w:pPr>
        <w:ind w:left="0" w:firstLine="0"/>
      </w:pPr>
      <w:rPr>
        <w:rFonts w:hint="eastAsia" w:eastAsia="仿宋_GB2312"/>
        <w:sz w:val="32"/>
      </w:rPr>
    </w:lvl>
    <w:lvl w:ilvl="3" w:tentative="0">
      <w:start w:val="1"/>
      <w:numFmt w:val="decimal"/>
      <w:pStyle w:val="68"/>
      <w:lvlText w:val="%1.%2.%3.%4"/>
      <w:lvlJc w:val="left"/>
      <w:pPr>
        <w:ind w:left="0" w:firstLine="0"/>
      </w:pPr>
      <w:rPr>
        <w:rFonts w:hint="eastAsia" w:eastAsia="仿宋_GB2312"/>
        <w:sz w:val="32"/>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29C775EF"/>
    <w:multiLevelType w:val="multilevel"/>
    <w:tmpl w:val="29C775EF"/>
    <w:lvl w:ilvl="0" w:tentative="0">
      <w:start w:val="1"/>
      <w:numFmt w:val="bullet"/>
      <w:pStyle w:val="36"/>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43DE53CB"/>
    <w:multiLevelType w:val="multilevel"/>
    <w:tmpl w:val="43DE53CB"/>
    <w:lvl w:ilvl="0" w:tentative="0">
      <w:start w:val="1"/>
      <w:numFmt w:val="decimal"/>
      <w:lvlText w:val="%1 "/>
      <w:lvlJc w:val="left"/>
      <w:pPr>
        <w:ind w:left="425" w:hanging="425"/>
      </w:pPr>
      <w:rPr>
        <w:rFonts w:hint="eastAsia" w:ascii="黑体" w:hAnsi="黑体" w:eastAsia="黑体"/>
      </w:rPr>
    </w:lvl>
    <w:lvl w:ilvl="1" w:tentative="0">
      <w:start w:val="1"/>
      <w:numFmt w:val="decimal"/>
      <w:pStyle w:val="53"/>
      <w:lvlText w:val="%1.%2 "/>
      <w:lvlJc w:val="left"/>
      <w:pPr>
        <w:ind w:left="992" w:hanging="567"/>
      </w:pPr>
      <w:rPr>
        <w:rFonts w:hint="eastAsia"/>
      </w:rPr>
    </w:lvl>
    <w:lvl w:ilvl="2" w:tentative="0">
      <w:start w:val="1"/>
      <w:numFmt w:val="decimal"/>
      <w:pStyle w:val="52"/>
      <w:lvlText w:val="%1.%2.%3"/>
      <w:lvlJc w:val="left"/>
      <w:pPr>
        <w:ind w:left="1418" w:hanging="1021"/>
      </w:pPr>
      <w:rPr>
        <w:rFonts w:hint="eastAsia"/>
      </w:rPr>
    </w:lvl>
    <w:lvl w:ilvl="3" w:tentative="0">
      <w:start w:val="1"/>
      <w:numFmt w:val="decimal"/>
      <w:lvlText w:val="%1.%2.%3.%4"/>
      <w:lvlJc w:val="left"/>
      <w:pPr>
        <w:ind w:left="1984" w:hanging="1530"/>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557D67F7"/>
    <w:multiLevelType w:val="multilevel"/>
    <w:tmpl w:val="557D67F7"/>
    <w:lvl w:ilvl="0" w:tentative="0">
      <w:start w:val="1"/>
      <w:numFmt w:val="chineseCountingThousand"/>
      <w:pStyle w:val="40"/>
      <w:lvlText w:val="第%1条"/>
      <w:lvlJc w:val="left"/>
      <w:pPr>
        <w:tabs>
          <w:tab w:val="left" w:pos="1429"/>
        </w:tabs>
        <w:ind w:left="85" w:firstLine="624"/>
      </w:pPr>
      <w:rPr>
        <w:rFonts w:hint="eastAsia" w:ascii="仿宋_GB2312" w:eastAsia="仿宋_GB2312"/>
        <w:b/>
        <w:bCs w:val="0"/>
        <w:i w:val="0"/>
        <w:color w:val="333333"/>
        <w:sz w:val="32"/>
        <w:szCs w:val="32"/>
        <w:lang w:val="en-US"/>
      </w:rPr>
    </w:lvl>
    <w:lvl w:ilvl="1" w:tentative="0">
      <w:start w:val="1"/>
      <w:numFmt w:val="japaneseCounting"/>
      <w:lvlText w:val="（%2）"/>
      <w:lvlJc w:val="left"/>
      <w:pPr>
        <w:tabs>
          <w:tab w:val="left" w:pos="64"/>
        </w:tabs>
        <w:ind w:left="64" w:hanging="720"/>
      </w:pPr>
      <w:rPr>
        <w:rFonts w:hint="eastAsia"/>
      </w:rPr>
    </w:lvl>
    <w:lvl w:ilvl="2" w:tentative="0">
      <w:start w:val="1"/>
      <w:numFmt w:val="lowerRoman"/>
      <w:lvlText w:val="%3."/>
      <w:lvlJc w:val="right"/>
      <w:pPr>
        <w:tabs>
          <w:tab w:val="left" w:pos="184"/>
        </w:tabs>
        <w:ind w:left="184" w:hanging="420"/>
      </w:pPr>
    </w:lvl>
    <w:lvl w:ilvl="3" w:tentative="0">
      <w:start w:val="1"/>
      <w:numFmt w:val="decimal"/>
      <w:lvlText w:val="%4."/>
      <w:lvlJc w:val="left"/>
      <w:pPr>
        <w:tabs>
          <w:tab w:val="left" w:pos="604"/>
        </w:tabs>
        <w:ind w:left="604" w:hanging="420"/>
      </w:pPr>
    </w:lvl>
    <w:lvl w:ilvl="4" w:tentative="0">
      <w:start w:val="1"/>
      <w:numFmt w:val="lowerLetter"/>
      <w:lvlText w:val="%5)"/>
      <w:lvlJc w:val="left"/>
      <w:pPr>
        <w:tabs>
          <w:tab w:val="left" w:pos="1024"/>
        </w:tabs>
        <w:ind w:left="1024" w:hanging="420"/>
      </w:pPr>
    </w:lvl>
    <w:lvl w:ilvl="5" w:tentative="0">
      <w:start w:val="1"/>
      <w:numFmt w:val="lowerRoman"/>
      <w:lvlText w:val="%6."/>
      <w:lvlJc w:val="right"/>
      <w:pPr>
        <w:tabs>
          <w:tab w:val="left" w:pos="1444"/>
        </w:tabs>
        <w:ind w:left="1444" w:hanging="420"/>
      </w:pPr>
    </w:lvl>
    <w:lvl w:ilvl="6" w:tentative="0">
      <w:start w:val="1"/>
      <w:numFmt w:val="decimal"/>
      <w:lvlText w:val="%7."/>
      <w:lvlJc w:val="left"/>
      <w:pPr>
        <w:tabs>
          <w:tab w:val="left" w:pos="1864"/>
        </w:tabs>
        <w:ind w:left="1864" w:hanging="420"/>
      </w:pPr>
    </w:lvl>
    <w:lvl w:ilvl="7" w:tentative="0">
      <w:start w:val="1"/>
      <w:numFmt w:val="lowerLetter"/>
      <w:lvlText w:val="%8)"/>
      <w:lvlJc w:val="left"/>
      <w:pPr>
        <w:tabs>
          <w:tab w:val="left" w:pos="2284"/>
        </w:tabs>
        <w:ind w:left="2284" w:hanging="420"/>
      </w:pPr>
    </w:lvl>
    <w:lvl w:ilvl="8" w:tentative="0">
      <w:start w:val="1"/>
      <w:numFmt w:val="lowerRoman"/>
      <w:lvlText w:val="%9."/>
      <w:lvlJc w:val="right"/>
      <w:pPr>
        <w:tabs>
          <w:tab w:val="left" w:pos="2704"/>
        </w:tabs>
        <w:ind w:left="2704" w:hanging="420"/>
      </w:pPr>
    </w:lvl>
  </w:abstractNum>
  <w:abstractNum w:abstractNumId="9">
    <w:nsid w:val="609A2FBA"/>
    <w:multiLevelType w:val="multilevel"/>
    <w:tmpl w:val="609A2FBA"/>
    <w:lvl w:ilvl="0" w:tentative="0">
      <w:start w:val="1"/>
      <w:numFmt w:val="chineseCountingThousand"/>
      <w:pStyle w:val="46"/>
      <w:lvlText w:val="第%1条"/>
      <w:lvlJc w:val="left"/>
      <w:pPr>
        <w:tabs>
          <w:tab w:val="left" w:pos="1276"/>
        </w:tabs>
        <w:ind w:left="85" w:firstLine="624"/>
      </w:pPr>
      <w:rPr>
        <w:rFonts w:hint="eastAsia" w:ascii="仿宋_GB2312" w:eastAsia="仿宋_GB2312"/>
        <w:b/>
        <w:lang w:val="en-US"/>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0">
    <w:nsid w:val="79632794"/>
    <w:multiLevelType w:val="multilevel"/>
    <w:tmpl w:val="79632794"/>
    <w:lvl w:ilvl="0" w:tentative="0">
      <w:start w:val="1"/>
      <w:numFmt w:val="decimal"/>
      <w:lvlText w:val="%1."/>
      <w:lvlJc w:val="left"/>
      <w:pPr>
        <w:ind w:left="425" w:hanging="425"/>
      </w:pPr>
      <w:rPr>
        <w:rFonts w:hint="default" w:ascii="黑体" w:hAnsi="黑体" w:eastAsia="黑体" w:cs="黑体"/>
        <w:sz w:val="32"/>
        <w:szCs w:val="32"/>
      </w:rPr>
    </w:lvl>
    <w:lvl w:ilvl="1" w:tentative="0">
      <w:start w:val="1"/>
      <w:numFmt w:val="decimal"/>
      <w:lvlText w:val="%1.%2"/>
      <w:lvlJc w:val="left"/>
      <w:pPr>
        <w:ind w:left="1407" w:hanging="567"/>
      </w:pPr>
      <w:rPr>
        <w:rFonts w:hint="default" w:ascii="仿宋_GB2312" w:hAnsi="仿宋_GB2312" w:eastAsia="仿宋_GB2312" w:cs="仿宋_GB2312"/>
        <w:sz w:val="32"/>
        <w:szCs w:val="32"/>
      </w:rPr>
    </w:lvl>
    <w:lvl w:ilvl="2" w:tentative="0">
      <w:start w:val="1"/>
      <w:numFmt w:val="decimal"/>
      <w:lvlText w:val="%1.%2.%3"/>
      <w:lvlJc w:val="left"/>
      <w:pPr>
        <w:ind w:left="709" w:hanging="709"/>
      </w:pPr>
      <w:rPr>
        <w:rFonts w:hint="default" w:ascii="仿宋_GB2312" w:hAnsi="仿宋_GB2312" w:eastAsia="仿宋_GB2312" w:cs="仿宋_GB2312"/>
        <w:sz w:val="32"/>
        <w:szCs w:val="32"/>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1">
    <w:nsid w:val="7A544927"/>
    <w:multiLevelType w:val="multilevel"/>
    <w:tmpl w:val="7A544927"/>
    <w:lvl w:ilvl="0" w:tentative="0">
      <w:start w:val="1"/>
      <w:numFmt w:val="decimal"/>
      <w:pStyle w:val="39"/>
      <w:suff w:val="space"/>
      <w:lvlText w:val="%1."/>
      <w:lvlJc w:val="left"/>
      <w:pPr>
        <w:ind w:left="3260" w:hanging="425"/>
      </w:pPr>
      <w:rPr>
        <w:rFonts w:hint="default" w:ascii="仿宋" w:hAnsi="仿宋" w:eastAsia="仿宋" w:cs="Arial"/>
      </w:rPr>
    </w:lvl>
    <w:lvl w:ilvl="1" w:tentative="0">
      <w:start w:val="1"/>
      <w:numFmt w:val="decimal"/>
      <w:suff w:val="space"/>
      <w:lvlText w:val="%1.%2."/>
      <w:lvlJc w:val="left"/>
      <w:pPr>
        <w:ind w:left="4536" w:hanging="567"/>
      </w:pPr>
      <w:rPr>
        <w:rFonts w:hint="eastAsia"/>
      </w:rPr>
    </w:lvl>
    <w:lvl w:ilvl="2" w:tentative="0">
      <w:start w:val="1"/>
      <w:numFmt w:val="decimal"/>
      <w:suff w:val="space"/>
      <w:lvlText w:val="%1.%2.%3."/>
      <w:lvlJc w:val="left"/>
      <w:pPr>
        <w:ind w:left="2977"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3"/>
  </w:num>
  <w:num w:numId="2">
    <w:abstractNumId w:val="2"/>
  </w:num>
  <w:num w:numId="3">
    <w:abstractNumId w:val="6"/>
  </w:num>
  <w:num w:numId="4">
    <w:abstractNumId w:val="11"/>
  </w:num>
  <w:num w:numId="5">
    <w:abstractNumId w:val="8"/>
  </w:num>
  <w:num w:numId="6">
    <w:abstractNumId w:val="9"/>
  </w:num>
  <w:num w:numId="7">
    <w:abstractNumId w:val="7"/>
  </w:num>
  <w:num w:numId="8">
    <w:abstractNumId w:val="1"/>
  </w:num>
  <w:num w:numId="9">
    <w:abstractNumId w:val="5"/>
  </w:num>
  <w:num w:numId="10">
    <w:abstractNumId w:val="10"/>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revisionView w:markup="0"/>
  <w:documentProtection w:edit="forms" w:enforcement="0"/>
  <w:defaultTabStop w:val="21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5ZGQ5NGQ0NDQ4ODk3YzY1ZTNmN2MyYzhiZTdiOWEifQ=="/>
  </w:docVars>
  <w:rsids>
    <w:rsidRoot w:val="00172A27"/>
    <w:rsid w:val="0002272F"/>
    <w:rsid w:val="000273F3"/>
    <w:rsid w:val="00050031"/>
    <w:rsid w:val="0005024C"/>
    <w:rsid w:val="000A3EB5"/>
    <w:rsid w:val="000D147C"/>
    <w:rsid w:val="000F098E"/>
    <w:rsid w:val="00103E84"/>
    <w:rsid w:val="0010461C"/>
    <w:rsid w:val="0010669F"/>
    <w:rsid w:val="001437CA"/>
    <w:rsid w:val="00172A27"/>
    <w:rsid w:val="00173176"/>
    <w:rsid w:val="00182FE3"/>
    <w:rsid w:val="00193AA7"/>
    <w:rsid w:val="001C4343"/>
    <w:rsid w:val="001E2BBC"/>
    <w:rsid w:val="0022307C"/>
    <w:rsid w:val="00282083"/>
    <w:rsid w:val="00282A76"/>
    <w:rsid w:val="002C0C10"/>
    <w:rsid w:val="00300FDF"/>
    <w:rsid w:val="003236D6"/>
    <w:rsid w:val="003A02B3"/>
    <w:rsid w:val="003A4EB6"/>
    <w:rsid w:val="003E2B56"/>
    <w:rsid w:val="00401609"/>
    <w:rsid w:val="0041386C"/>
    <w:rsid w:val="004A657F"/>
    <w:rsid w:val="004C0C55"/>
    <w:rsid w:val="004E07DF"/>
    <w:rsid w:val="004F7C0F"/>
    <w:rsid w:val="0050698C"/>
    <w:rsid w:val="005733D9"/>
    <w:rsid w:val="00584AF3"/>
    <w:rsid w:val="00587962"/>
    <w:rsid w:val="005A15AD"/>
    <w:rsid w:val="005D3206"/>
    <w:rsid w:val="005D7CDF"/>
    <w:rsid w:val="005F168C"/>
    <w:rsid w:val="005F7A85"/>
    <w:rsid w:val="006038A8"/>
    <w:rsid w:val="00646918"/>
    <w:rsid w:val="00687248"/>
    <w:rsid w:val="0069763A"/>
    <w:rsid w:val="006D27A8"/>
    <w:rsid w:val="00732F88"/>
    <w:rsid w:val="007376C2"/>
    <w:rsid w:val="00785C55"/>
    <w:rsid w:val="0079329F"/>
    <w:rsid w:val="008564DF"/>
    <w:rsid w:val="008A161F"/>
    <w:rsid w:val="008B71A4"/>
    <w:rsid w:val="008D20E4"/>
    <w:rsid w:val="009037B0"/>
    <w:rsid w:val="00992E70"/>
    <w:rsid w:val="009A13B3"/>
    <w:rsid w:val="009A2029"/>
    <w:rsid w:val="009C7472"/>
    <w:rsid w:val="009C79C1"/>
    <w:rsid w:val="009D7EB8"/>
    <w:rsid w:val="009F204E"/>
    <w:rsid w:val="00A458D6"/>
    <w:rsid w:val="00AA4EAA"/>
    <w:rsid w:val="00B96ACE"/>
    <w:rsid w:val="00BB21CA"/>
    <w:rsid w:val="00CD4939"/>
    <w:rsid w:val="00CD4A59"/>
    <w:rsid w:val="00CD6C64"/>
    <w:rsid w:val="00CF535D"/>
    <w:rsid w:val="00D23704"/>
    <w:rsid w:val="00D66A29"/>
    <w:rsid w:val="00D97B91"/>
    <w:rsid w:val="00DE1972"/>
    <w:rsid w:val="00E44214"/>
    <w:rsid w:val="00E741F1"/>
    <w:rsid w:val="00EA15E5"/>
    <w:rsid w:val="00EB1B9A"/>
    <w:rsid w:val="00EC74F7"/>
    <w:rsid w:val="00ED5986"/>
    <w:rsid w:val="00EF004B"/>
    <w:rsid w:val="00EF0269"/>
    <w:rsid w:val="00F178E7"/>
    <w:rsid w:val="00F45735"/>
    <w:rsid w:val="00F46C2E"/>
    <w:rsid w:val="00F605FB"/>
    <w:rsid w:val="00F64D2C"/>
    <w:rsid w:val="00F854C4"/>
    <w:rsid w:val="00FA6E65"/>
    <w:rsid w:val="00FF1B86"/>
    <w:rsid w:val="01234EC7"/>
    <w:rsid w:val="012941E2"/>
    <w:rsid w:val="0136718A"/>
    <w:rsid w:val="01484B48"/>
    <w:rsid w:val="014C438B"/>
    <w:rsid w:val="01763BCE"/>
    <w:rsid w:val="017B65FA"/>
    <w:rsid w:val="017C407C"/>
    <w:rsid w:val="0194167F"/>
    <w:rsid w:val="01A77904"/>
    <w:rsid w:val="01AA1FBE"/>
    <w:rsid w:val="01D134FA"/>
    <w:rsid w:val="01D34B7C"/>
    <w:rsid w:val="01DA3E72"/>
    <w:rsid w:val="01EF5B88"/>
    <w:rsid w:val="020956F9"/>
    <w:rsid w:val="0224362A"/>
    <w:rsid w:val="024B6E08"/>
    <w:rsid w:val="025643D0"/>
    <w:rsid w:val="027F4D04"/>
    <w:rsid w:val="02883939"/>
    <w:rsid w:val="02924E49"/>
    <w:rsid w:val="02A93B2F"/>
    <w:rsid w:val="02BE741A"/>
    <w:rsid w:val="02C40991"/>
    <w:rsid w:val="02C91CDE"/>
    <w:rsid w:val="02D35D6E"/>
    <w:rsid w:val="02D5002C"/>
    <w:rsid w:val="02D9660A"/>
    <w:rsid w:val="02E4100B"/>
    <w:rsid w:val="02EF1E8A"/>
    <w:rsid w:val="031B02A5"/>
    <w:rsid w:val="03304965"/>
    <w:rsid w:val="03373EED"/>
    <w:rsid w:val="036334E0"/>
    <w:rsid w:val="038356BA"/>
    <w:rsid w:val="03BA6C28"/>
    <w:rsid w:val="03C140FB"/>
    <w:rsid w:val="03CB7966"/>
    <w:rsid w:val="03E040DF"/>
    <w:rsid w:val="03F462DC"/>
    <w:rsid w:val="040000C7"/>
    <w:rsid w:val="04223051"/>
    <w:rsid w:val="04492487"/>
    <w:rsid w:val="04502D7B"/>
    <w:rsid w:val="045301F6"/>
    <w:rsid w:val="045F5217"/>
    <w:rsid w:val="04631715"/>
    <w:rsid w:val="04647492"/>
    <w:rsid w:val="046C1026"/>
    <w:rsid w:val="04702B47"/>
    <w:rsid w:val="047A2095"/>
    <w:rsid w:val="047F5CA1"/>
    <w:rsid w:val="048622D1"/>
    <w:rsid w:val="048B4714"/>
    <w:rsid w:val="04A26275"/>
    <w:rsid w:val="04B579D8"/>
    <w:rsid w:val="04B74E6D"/>
    <w:rsid w:val="04CB0587"/>
    <w:rsid w:val="0510745B"/>
    <w:rsid w:val="053A6B4E"/>
    <w:rsid w:val="05453FE3"/>
    <w:rsid w:val="054D733B"/>
    <w:rsid w:val="056423FF"/>
    <w:rsid w:val="058266FD"/>
    <w:rsid w:val="05C27AF9"/>
    <w:rsid w:val="05C66BB1"/>
    <w:rsid w:val="05F826E7"/>
    <w:rsid w:val="061816F7"/>
    <w:rsid w:val="06333778"/>
    <w:rsid w:val="063B4673"/>
    <w:rsid w:val="0697042D"/>
    <w:rsid w:val="069D7836"/>
    <w:rsid w:val="06A40F99"/>
    <w:rsid w:val="06AF44FE"/>
    <w:rsid w:val="06C8049E"/>
    <w:rsid w:val="06D40D43"/>
    <w:rsid w:val="06E723F8"/>
    <w:rsid w:val="06E73B3A"/>
    <w:rsid w:val="06F226F4"/>
    <w:rsid w:val="071A12A3"/>
    <w:rsid w:val="073B3189"/>
    <w:rsid w:val="07400850"/>
    <w:rsid w:val="074C47F2"/>
    <w:rsid w:val="07502D16"/>
    <w:rsid w:val="075C773E"/>
    <w:rsid w:val="07884727"/>
    <w:rsid w:val="079E79DA"/>
    <w:rsid w:val="07E164C2"/>
    <w:rsid w:val="07E69FC1"/>
    <w:rsid w:val="07FA5D65"/>
    <w:rsid w:val="07FB1E71"/>
    <w:rsid w:val="083C6A92"/>
    <w:rsid w:val="08494FC7"/>
    <w:rsid w:val="088B61E9"/>
    <w:rsid w:val="08971543"/>
    <w:rsid w:val="089C382E"/>
    <w:rsid w:val="08A74FB5"/>
    <w:rsid w:val="08D661E7"/>
    <w:rsid w:val="08D8516E"/>
    <w:rsid w:val="08E47EFE"/>
    <w:rsid w:val="08F460A3"/>
    <w:rsid w:val="08FC1875"/>
    <w:rsid w:val="0935537F"/>
    <w:rsid w:val="093E2F5B"/>
    <w:rsid w:val="094176B3"/>
    <w:rsid w:val="096406C7"/>
    <w:rsid w:val="09840E52"/>
    <w:rsid w:val="098D13E4"/>
    <w:rsid w:val="09A129E2"/>
    <w:rsid w:val="09A416EE"/>
    <w:rsid w:val="09B929EA"/>
    <w:rsid w:val="09F270C1"/>
    <w:rsid w:val="0A03366B"/>
    <w:rsid w:val="0A517407"/>
    <w:rsid w:val="0A5E359B"/>
    <w:rsid w:val="0A6C0264"/>
    <w:rsid w:val="0A901E2D"/>
    <w:rsid w:val="0AA50EB9"/>
    <w:rsid w:val="0AC857F6"/>
    <w:rsid w:val="0AD857B2"/>
    <w:rsid w:val="0AF6120F"/>
    <w:rsid w:val="0AF82DE1"/>
    <w:rsid w:val="0B0534B9"/>
    <w:rsid w:val="0B1C2999"/>
    <w:rsid w:val="0B1D2979"/>
    <w:rsid w:val="0B2C793E"/>
    <w:rsid w:val="0B2F34FB"/>
    <w:rsid w:val="0B527613"/>
    <w:rsid w:val="0B8A3778"/>
    <w:rsid w:val="0B91598C"/>
    <w:rsid w:val="0B9A6CA2"/>
    <w:rsid w:val="0BBB4028"/>
    <w:rsid w:val="0BDC4C84"/>
    <w:rsid w:val="0BE84C37"/>
    <w:rsid w:val="0C136A24"/>
    <w:rsid w:val="0C253BCD"/>
    <w:rsid w:val="0C7215D9"/>
    <w:rsid w:val="0C7C7FF7"/>
    <w:rsid w:val="0CAD246E"/>
    <w:rsid w:val="0CBA2BB9"/>
    <w:rsid w:val="0CFB6982"/>
    <w:rsid w:val="0D0D22E4"/>
    <w:rsid w:val="0D0E6B02"/>
    <w:rsid w:val="0D1B02F3"/>
    <w:rsid w:val="0D803B5D"/>
    <w:rsid w:val="0D8E732A"/>
    <w:rsid w:val="0D9A21A6"/>
    <w:rsid w:val="0DA82305"/>
    <w:rsid w:val="0DB86F38"/>
    <w:rsid w:val="0DC52167"/>
    <w:rsid w:val="0DCB2E0C"/>
    <w:rsid w:val="0E1064CB"/>
    <w:rsid w:val="0E131A2C"/>
    <w:rsid w:val="0E182AD6"/>
    <w:rsid w:val="0E1931C9"/>
    <w:rsid w:val="0E197DBB"/>
    <w:rsid w:val="0E1B2033"/>
    <w:rsid w:val="0E1D7793"/>
    <w:rsid w:val="0E201D89"/>
    <w:rsid w:val="0E446C9D"/>
    <w:rsid w:val="0E5157A6"/>
    <w:rsid w:val="0E590AFF"/>
    <w:rsid w:val="0E85393C"/>
    <w:rsid w:val="0E87777F"/>
    <w:rsid w:val="0E911727"/>
    <w:rsid w:val="0EA20C6F"/>
    <w:rsid w:val="0EAC1DF8"/>
    <w:rsid w:val="0EB551B1"/>
    <w:rsid w:val="0ECB7D66"/>
    <w:rsid w:val="0ECC6FAF"/>
    <w:rsid w:val="0ED73909"/>
    <w:rsid w:val="0EE85E19"/>
    <w:rsid w:val="0EF56404"/>
    <w:rsid w:val="0F193E52"/>
    <w:rsid w:val="0F1D1054"/>
    <w:rsid w:val="0F282012"/>
    <w:rsid w:val="0F2D2D47"/>
    <w:rsid w:val="0F3564CA"/>
    <w:rsid w:val="0F37546D"/>
    <w:rsid w:val="0F6D36D5"/>
    <w:rsid w:val="0F7620E5"/>
    <w:rsid w:val="0F94544F"/>
    <w:rsid w:val="0FA967A5"/>
    <w:rsid w:val="0FBF37C3"/>
    <w:rsid w:val="0FC60497"/>
    <w:rsid w:val="0FDA79D0"/>
    <w:rsid w:val="10016272"/>
    <w:rsid w:val="100E0F64"/>
    <w:rsid w:val="10114B16"/>
    <w:rsid w:val="101A6521"/>
    <w:rsid w:val="1054157E"/>
    <w:rsid w:val="10567BF6"/>
    <w:rsid w:val="10596B94"/>
    <w:rsid w:val="105E73E3"/>
    <w:rsid w:val="10BB05D5"/>
    <w:rsid w:val="10CB0E5B"/>
    <w:rsid w:val="110076F7"/>
    <w:rsid w:val="110A4E15"/>
    <w:rsid w:val="111020D7"/>
    <w:rsid w:val="11156C47"/>
    <w:rsid w:val="113C5A27"/>
    <w:rsid w:val="11D5776D"/>
    <w:rsid w:val="11E25E91"/>
    <w:rsid w:val="11E96944"/>
    <w:rsid w:val="12073EAB"/>
    <w:rsid w:val="1211524D"/>
    <w:rsid w:val="122D7C66"/>
    <w:rsid w:val="123D10A0"/>
    <w:rsid w:val="124F744A"/>
    <w:rsid w:val="126C5BE0"/>
    <w:rsid w:val="12706417"/>
    <w:rsid w:val="12740EA1"/>
    <w:rsid w:val="127A056A"/>
    <w:rsid w:val="127F07C2"/>
    <w:rsid w:val="128A761C"/>
    <w:rsid w:val="12954135"/>
    <w:rsid w:val="12954C93"/>
    <w:rsid w:val="12AB0E42"/>
    <w:rsid w:val="12C56A5B"/>
    <w:rsid w:val="12D00124"/>
    <w:rsid w:val="12DF8569"/>
    <w:rsid w:val="131E4C2E"/>
    <w:rsid w:val="13207D00"/>
    <w:rsid w:val="136B6BBE"/>
    <w:rsid w:val="136D11CB"/>
    <w:rsid w:val="13735997"/>
    <w:rsid w:val="13E80E38"/>
    <w:rsid w:val="13F41F7E"/>
    <w:rsid w:val="13FC183F"/>
    <w:rsid w:val="14087DE0"/>
    <w:rsid w:val="142314B2"/>
    <w:rsid w:val="142F6D07"/>
    <w:rsid w:val="146C2DDF"/>
    <w:rsid w:val="14706A5D"/>
    <w:rsid w:val="14713721"/>
    <w:rsid w:val="147D0B37"/>
    <w:rsid w:val="147E306D"/>
    <w:rsid w:val="14A36A07"/>
    <w:rsid w:val="14C22ED1"/>
    <w:rsid w:val="14CF211B"/>
    <w:rsid w:val="14E106DE"/>
    <w:rsid w:val="14F05A2B"/>
    <w:rsid w:val="150302E6"/>
    <w:rsid w:val="150E5D5E"/>
    <w:rsid w:val="151448C3"/>
    <w:rsid w:val="15183191"/>
    <w:rsid w:val="153F3FE7"/>
    <w:rsid w:val="154911F7"/>
    <w:rsid w:val="154C43A8"/>
    <w:rsid w:val="155B66C6"/>
    <w:rsid w:val="159A6005"/>
    <w:rsid w:val="15AF6A22"/>
    <w:rsid w:val="15B17075"/>
    <w:rsid w:val="15D01A52"/>
    <w:rsid w:val="15D32F45"/>
    <w:rsid w:val="15EA1956"/>
    <w:rsid w:val="15F71ACD"/>
    <w:rsid w:val="162437A1"/>
    <w:rsid w:val="16322361"/>
    <w:rsid w:val="16590301"/>
    <w:rsid w:val="168601F0"/>
    <w:rsid w:val="16892B23"/>
    <w:rsid w:val="16A21EA9"/>
    <w:rsid w:val="16A41138"/>
    <w:rsid w:val="16A42C3C"/>
    <w:rsid w:val="16A904A5"/>
    <w:rsid w:val="16AE7F4A"/>
    <w:rsid w:val="16BB0F91"/>
    <w:rsid w:val="16C113C9"/>
    <w:rsid w:val="16C37FEE"/>
    <w:rsid w:val="16ED2802"/>
    <w:rsid w:val="172B23A3"/>
    <w:rsid w:val="174C20DA"/>
    <w:rsid w:val="175353B8"/>
    <w:rsid w:val="177148FD"/>
    <w:rsid w:val="1789272F"/>
    <w:rsid w:val="179A75EE"/>
    <w:rsid w:val="17A23B31"/>
    <w:rsid w:val="17A56E3E"/>
    <w:rsid w:val="17AE5D63"/>
    <w:rsid w:val="17D2722C"/>
    <w:rsid w:val="17D74624"/>
    <w:rsid w:val="17E01949"/>
    <w:rsid w:val="17E56CE5"/>
    <w:rsid w:val="18091202"/>
    <w:rsid w:val="180D768F"/>
    <w:rsid w:val="18100EBE"/>
    <w:rsid w:val="182A3CED"/>
    <w:rsid w:val="183B5CE2"/>
    <w:rsid w:val="185B2DA9"/>
    <w:rsid w:val="187746B3"/>
    <w:rsid w:val="187C3AF9"/>
    <w:rsid w:val="189A38AD"/>
    <w:rsid w:val="18AC611B"/>
    <w:rsid w:val="18B03F7A"/>
    <w:rsid w:val="18B77E3A"/>
    <w:rsid w:val="18E11E1D"/>
    <w:rsid w:val="18ED5320"/>
    <w:rsid w:val="18F338FE"/>
    <w:rsid w:val="18F851EB"/>
    <w:rsid w:val="19153875"/>
    <w:rsid w:val="19322678"/>
    <w:rsid w:val="193725BE"/>
    <w:rsid w:val="193D41F8"/>
    <w:rsid w:val="194F4FD8"/>
    <w:rsid w:val="195429CA"/>
    <w:rsid w:val="19547F59"/>
    <w:rsid w:val="198F3627"/>
    <w:rsid w:val="19B322E1"/>
    <w:rsid w:val="19CB3480"/>
    <w:rsid w:val="19E161A9"/>
    <w:rsid w:val="19ED68B6"/>
    <w:rsid w:val="1A091248"/>
    <w:rsid w:val="1A104432"/>
    <w:rsid w:val="1A6B345F"/>
    <w:rsid w:val="1A6B4094"/>
    <w:rsid w:val="1A8D41F9"/>
    <w:rsid w:val="1AA44EB0"/>
    <w:rsid w:val="1AA8369E"/>
    <w:rsid w:val="1AAF0F4B"/>
    <w:rsid w:val="1ACC53C3"/>
    <w:rsid w:val="1ACF4E28"/>
    <w:rsid w:val="1AE81512"/>
    <w:rsid w:val="1B021C0B"/>
    <w:rsid w:val="1B163D14"/>
    <w:rsid w:val="1B313F9B"/>
    <w:rsid w:val="1B442378"/>
    <w:rsid w:val="1B4A6FFE"/>
    <w:rsid w:val="1B911470"/>
    <w:rsid w:val="1BE3024F"/>
    <w:rsid w:val="1BEC097D"/>
    <w:rsid w:val="1BFF04CF"/>
    <w:rsid w:val="1BFF55E2"/>
    <w:rsid w:val="1C033E58"/>
    <w:rsid w:val="1C29608F"/>
    <w:rsid w:val="1C7B60E4"/>
    <w:rsid w:val="1C904DD8"/>
    <w:rsid w:val="1C9C4A1D"/>
    <w:rsid w:val="1CA05B4B"/>
    <w:rsid w:val="1CAC44F0"/>
    <w:rsid w:val="1CC13CDB"/>
    <w:rsid w:val="1CE00A0E"/>
    <w:rsid w:val="1CEF52BC"/>
    <w:rsid w:val="1D06720C"/>
    <w:rsid w:val="1D3E5F04"/>
    <w:rsid w:val="1D686669"/>
    <w:rsid w:val="1D706448"/>
    <w:rsid w:val="1D774AFE"/>
    <w:rsid w:val="1D85493E"/>
    <w:rsid w:val="1DB165A9"/>
    <w:rsid w:val="1DB5710A"/>
    <w:rsid w:val="1DC13FCB"/>
    <w:rsid w:val="1DC418B0"/>
    <w:rsid w:val="1DDA324F"/>
    <w:rsid w:val="1DE63A32"/>
    <w:rsid w:val="1DFA69E2"/>
    <w:rsid w:val="1E1628C6"/>
    <w:rsid w:val="1E2C0051"/>
    <w:rsid w:val="1E332231"/>
    <w:rsid w:val="1E417B2A"/>
    <w:rsid w:val="1E4506E7"/>
    <w:rsid w:val="1E473728"/>
    <w:rsid w:val="1E53493C"/>
    <w:rsid w:val="1E5A258D"/>
    <w:rsid w:val="1E8140D1"/>
    <w:rsid w:val="1EB06971"/>
    <w:rsid w:val="1EB419B4"/>
    <w:rsid w:val="1EC637EE"/>
    <w:rsid w:val="1EEC7023"/>
    <w:rsid w:val="1EEF752C"/>
    <w:rsid w:val="1EF0174A"/>
    <w:rsid w:val="1EF82480"/>
    <w:rsid w:val="1F085089"/>
    <w:rsid w:val="1F297456"/>
    <w:rsid w:val="1F2C550F"/>
    <w:rsid w:val="1F505850"/>
    <w:rsid w:val="1F533349"/>
    <w:rsid w:val="1F6FFF62"/>
    <w:rsid w:val="1F79235E"/>
    <w:rsid w:val="1F83379C"/>
    <w:rsid w:val="1F923E71"/>
    <w:rsid w:val="1FA0397A"/>
    <w:rsid w:val="1FA645DF"/>
    <w:rsid w:val="1FAB8954"/>
    <w:rsid w:val="1FBC0AEB"/>
    <w:rsid w:val="1FD40442"/>
    <w:rsid w:val="1FED1E23"/>
    <w:rsid w:val="1FF24EE1"/>
    <w:rsid w:val="1FFB4B07"/>
    <w:rsid w:val="1FFCB4A8"/>
    <w:rsid w:val="200E5E9F"/>
    <w:rsid w:val="20106B9E"/>
    <w:rsid w:val="204E06C4"/>
    <w:rsid w:val="205961C8"/>
    <w:rsid w:val="208C6B12"/>
    <w:rsid w:val="20A91867"/>
    <w:rsid w:val="20AD06E9"/>
    <w:rsid w:val="20B7151B"/>
    <w:rsid w:val="20BD5DB3"/>
    <w:rsid w:val="20E029BA"/>
    <w:rsid w:val="210D1A88"/>
    <w:rsid w:val="21495698"/>
    <w:rsid w:val="21617F9F"/>
    <w:rsid w:val="217541F2"/>
    <w:rsid w:val="21863561"/>
    <w:rsid w:val="218706A4"/>
    <w:rsid w:val="21A8797C"/>
    <w:rsid w:val="21B51E9D"/>
    <w:rsid w:val="21FA7484"/>
    <w:rsid w:val="220426D8"/>
    <w:rsid w:val="223B0A49"/>
    <w:rsid w:val="2244507F"/>
    <w:rsid w:val="226B7009"/>
    <w:rsid w:val="2282760B"/>
    <w:rsid w:val="22BB2103"/>
    <w:rsid w:val="22C61515"/>
    <w:rsid w:val="22CB55DF"/>
    <w:rsid w:val="22D002B1"/>
    <w:rsid w:val="22DD0D16"/>
    <w:rsid w:val="22E06CA1"/>
    <w:rsid w:val="22E07C0E"/>
    <w:rsid w:val="22EF5136"/>
    <w:rsid w:val="22F72AD7"/>
    <w:rsid w:val="23150C46"/>
    <w:rsid w:val="23167D3D"/>
    <w:rsid w:val="23241991"/>
    <w:rsid w:val="232A4D5A"/>
    <w:rsid w:val="23327F72"/>
    <w:rsid w:val="233B037C"/>
    <w:rsid w:val="233B157D"/>
    <w:rsid w:val="23406E36"/>
    <w:rsid w:val="234C3C51"/>
    <w:rsid w:val="235C33EC"/>
    <w:rsid w:val="2372596F"/>
    <w:rsid w:val="23910266"/>
    <w:rsid w:val="239D38A6"/>
    <w:rsid w:val="23BA58B4"/>
    <w:rsid w:val="23C03699"/>
    <w:rsid w:val="23CB7951"/>
    <w:rsid w:val="23D26565"/>
    <w:rsid w:val="23F61A8F"/>
    <w:rsid w:val="24175F84"/>
    <w:rsid w:val="24340ABB"/>
    <w:rsid w:val="2466666B"/>
    <w:rsid w:val="2492101E"/>
    <w:rsid w:val="24A84925"/>
    <w:rsid w:val="25013D0C"/>
    <w:rsid w:val="254A0FBC"/>
    <w:rsid w:val="254A2AF8"/>
    <w:rsid w:val="254B6EDA"/>
    <w:rsid w:val="256F4360"/>
    <w:rsid w:val="25742D36"/>
    <w:rsid w:val="259F6F5F"/>
    <w:rsid w:val="25A70471"/>
    <w:rsid w:val="25A764EE"/>
    <w:rsid w:val="25CA373A"/>
    <w:rsid w:val="25D9043F"/>
    <w:rsid w:val="25E23382"/>
    <w:rsid w:val="26005C55"/>
    <w:rsid w:val="264224F5"/>
    <w:rsid w:val="265D413A"/>
    <w:rsid w:val="265F052C"/>
    <w:rsid w:val="268E613E"/>
    <w:rsid w:val="26926190"/>
    <w:rsid w:val="26CF029A"/>
    <w:rsid w:val="2708178E"/>
    <w:rsid w:val="27214E27"/>
    <w:rsid w:val="274E11FC"/>
    <w:rsid w:val="27894407"/>
    <w:rsid w:val="27EBB2E7"/>
    <w:rsid w:val="27F20209"/>
    <w:rsid w:val="28024067"/>
    <w:rsid w:val="280258B0"/>
    <w:rsid w:val="28243AD4"/>
    <w:rsid w:val="286D2D34"/>
    <w:rsid w:val="287E407A"/>
    <w:rsid w:val="28966906"/>
    <w:rsid w:val="28C33FAE"/>
    <w:rsid w:val="28DE0C3D"/>
    <w:rsid w:val="28EA2584"/>
    <w:rsid w:val="28EA5A25"/>
    <w:rsid w:val="29177195"/>
    <w:rsid w:val="292523D3"/>
    <w:rsid w:val="293A550D"/>
    <w:rsid w:val="294361EF"/>
    <w:rsid w:val="29554DD0"/>
    <w:rsid w:val="298E55ED"/>
    <w:rsid w:val="29A058BE"/>
    <w:rsid w:val="29C36A7E"/>
    <w:rsid w:val="29E8669B"/>
    <w:rsid w:val="29EE1431"/>
    <w:rsid w:val="2A111E36"/>
    <w:rsid w:val="2A12230C"/>
    <w:rsid w:val="2A196FFE"/>
    <w:rsid w:val="2A1B4D99"/>
    <w:rsid w:val="2A243644"/>
    <w:rsid w:val="2A574BB1"/>
    <w:rsid w:val="2A84148A"/>
    <w:rsid w:val="2A894041"/>
    <w:rsid w:val="2A8B2848"/>
    <w:rsid w:val="2A8B567A"/>
    <w:rsid w:val="2A986B38"/>
    <w:rsid w:val="2AC31CC8"/>
    <w:rsid w:val="2B007C93"/>
    <w:rsid w:val="2B295804"/>
    <w:rsid w:val="2B66554D"/>
    <w:rsid w:val="2B6E5792"/>
    <w:rsid w:val="2B7602FD"/>
    <w:rsid w:val="2B8D3A17"/>
    <w:rsid w:val="2B950A16"/>
    <w:rsid w:val="2BA1440A"/>
    <w:rsid w:val="2BA54692"/>
    <w:rsid w:val="2BDB1D6C"/>
    <w:rsid w:val="2BEB0B69"/>
    <w:rsid w:val="2BFA4688"/>
    <w:rsid w:val="2C0B5997"/>
    <w:rsid w:val="2C1C1A15"/>
    <w:rsid w:val="2C332146"/>
    <w:rsid w:val="2C5C315A"/>
    <w:rsid w:val="2C7257BE"/>
    <w:rsid w:val="2C7E1C8A"/>
    <w:rsid w:val="2CB77DC7"/>
    <w:rsid w:val="2CBC6D28"/>
    <w:rsid w:val="2CBD0633"/>
    <w:rsid w:val="2CC641EE"/>
    <w:rsid w:val="2CD82ADC"/>
    <w:rsid w:val="2CF230BC"/>
    <w:rsid w:val="2D120BE1"/>
    <w:rsid w:val="2D15076F"/>
    <w:rsid w:val="2D167662"/>
    <w:rsid w:val="2D327126"/>
    <w:rsid w:val="2D494D98"/>
    <w:rsid w:val="2D793DBA"/>
    <w:rsid w:val="2D88165A"/>
    <w:rsid w:val="2DA47D6E"/>
    <w:rsid w:val="2DB66F7C"/>
    <w:rsid w:val="2DC37BF2"/>
    <w:rsid w:val="2DD440BD"/>
    <w:rsid w:val="2DDE7757"/>
    <w:rsid w:val="2DE36249"/>
    <w:rsid w:val="2DEB0A15"/>
    <w:rsid w:val="2E041605"/>
    <w:rsid w:val="2E17585F"/>
    <w:rsid w:val="2E203DC0"/>
    <w:rsid w:val="2E281F08"/>
    <w:rsid w:val="2E6E131B"/>
    <w:rsid w:val="2E73735F"/>
    <w:rsid w:val="2E7F3812"/>
    <w:rsid w:val="2E9B1858"/>
    <w:rsid w:val="2EA108E5"/>
    <w:rsid w:val="2EA71260"/>
    <w:rsid w:val="2EB34C54"/>
    <w:rsid w:val="2EC35C81"/>
    <w:rsid w:val="2EC93ADB"/>
    <w:rsid w:val="2ED753FC"/>
    <w:rsid w:val="2F081A5A"/>
    <w:rsid w:val="2F2D00E0"/>
    <w:rsid w:val="2F4D4CED"/>
    <w:rsid w:val="2F4D69D7"/>
    <w:rsid w:val="2F5C7FF7"/>
    <w:rsid w:val="2F67031F"/>
    <w:rsid w:val="2F8B16BE"/>
    <w:rsid w:val="2F9E0F22"/>
    <w:rsid w:val="2FA01C92"/>
    <w:rsid w:val="2FA403DD"/>
    <w:rsid w:val="2FB91B7F"/>
    <w:rsid w:val="2FD24F60"/>
    <w:rsid w:val="2FD3B434"/>
    <w:rsid w:val="2FDA3EFA"/>
    <w:rsid w:val="2FF62D2B"/>
    <w:rsid w:val="2FF63FA8"/>
    <w:rsid w:val="2FF70F53"/>
    <w:rsid w:val="2FFB5C34"/>
    <w:rsid w:val="2FFDA0F4"/>
    <w:rsid w:val="300168DF"/>
    <w:rsid w:val="300272F7"/>
    <w:rsid w:val="30562E86"/>
    <w:rsid w:val="307153DD"/>
    <w:rsid w:val="308710A4"/>
    <w:rsid w:val="309A0DD7"/>
    <w:rsid w:val="30B821FE"/>
    <w:rsid w:val="30C241C8"/>
    <w:rsid w:val="310275D4"/>
    <w:rsid w:val="312479B6"/>
    <w:rsid w:val="314F07C8"/>
    <w:rsid w:val="31775E7A"/>
    <w:rsid w:val="31822082"/>
    <w:rsid w:val="31907595"/>
    <w:rsid w:val="31973569"/>
    <w:rsid w:val="31BA5621"/>
    <w:rsid w:val="31C003CA"/>
    <w:rsid w:val="321F30C6"/>
    <w:rsid w:val="321F5410"/>
    <w:rsid w:val="32222B76"/>
    <w:rsid w:val="323C4845"/>
    <w:rsid w:val="324C6070"/>
    <w:rsid w:val="32672F3B"/>
    <w:rsid w:val="329830A7"/>
    <w:rsid w:val="32990894"/>
    <w:rsid w:val="32AE2CF5"/>
    <w:rsid w:val="32B45C32"/>
    <w:rsid w:val="32D37F8C"/>
    <w:rsid w:val="32F31AC8"/>
    <w:rsid w:val="330632E7"/>
    <w:rsid w:val="330D6883"/>
    <w:rsid w:val="332B1E8B"/>
    <w:rsid w:val="3336756D"/>
    <w:rsid w:val="33432DF5"/>
    <w:rsid w:val="334E4E77"/>
    <w:rsid w:val="3353526D"/>
    <w:rsid w:val="335F5C8F"/>
    <w:rsid w:val="33753436"/>
    <w:rsid w:val="33DE5054"/>
    <w:rsid w:val="33EE2A5E"/>
    <w:rsid w:val="33F540D4"/>
    <w:rsid w:val="343E4179"/>
    <w:rsid w:val="344C0972"/>
    <w:rsid w:val="345B06C7"/>
    <w:rsid w:val="34B03966"/>
    <w:rsid w:val="34E32E49"/>
    <w:rsid w:val="34E46CD6"/>
    <w:rsid w:val="34F5482E"/>
    <w:rsid w:val="35132F06"/>
    <w:rsid w:val="35202262"/>
    <w:rsid w:val="35250087"/>
    <w:rsid w:val="35461DBE"/>
    <w:rsid w:val="356443F3"/>
    <w:rsid w:val="358636D8"/>
    <w:rsid w:val="35880016"/>
    <w:rsid w:val="35884484"/>
    <w:rsid w:val="358F2C96"/>
    <w:rsid w:val="359B7972"/>
    <w:rsid w:val="35A25C59"/>
    <w:rsid w:val="35BC70FA"/>
    <w:rsid w:val="35CA44E1"/>
    <w:rsid w:val="35F4168B"/>
    <w:rsid w:val="360573A6"/>
    <w:rsid w:val="361E20BB"/>
    <w:rsid w:val="363253F3"/>
    <w:rsid w:val="365A5C11"/>
    <w:rsid w:val="366F67F7"/>
    <w:rsid w:val="36734568"/>
    <w:rsid w:val="36771768"/>
    <w:rsid w:val="367E591E"/>
    <w:rsid w:val="36A06A70"/>
    <w:rsid w:val="36BE7867"/>
    <w:rsid w:val="36D3312E"/>
    <w:rsid w:val="36DDB706"/>
    <w:rsid w:val="36E92FB1"/>
    <w:rsid w:val="36FFA3F4"/>
    <w:rsid w:val="371340CB"/>
    <w:rsid w:val="37134707"/>
    <w:rsid w:val="37154060"/>
    <w:rsid w:val="371F3E8E"/>
    <w:rsid w:val="3748158D"/>
    <w:rsid w:val="375F6C93"/>
    <w:rsid w:val="377677AF"/>
    <w:rsid w:val="3779382C"/>
    <w:rsid w:val="377A74DD"/>
    <w:rsid w:val="3789074F"/>
    <w:rsid w:val="379F646B"/>
    <w:rsid w:val="37A54346"/>
    <w:rsid w:val="37E8055D"/>
    <w:rsid w:val="37EF19A2"/>
    <w:rsid w:val="37F7918B"/>
    <w:rsid w:val="37FB52CB"/>
    <w:rsid w:val="37FE64B6"/>
    <w:rsid w:val="380C7D1B"/>
    <w:rsid w:val="38290461"/>
    <w:rsid w:val="38324CF7"/>
    <w:rsid w:val="383C5BD0"/>
    <w:rsid w:val="38417611"/>
    <w:rsid w:val="38713D98"/>
    <w:rsid w:val="38A045CF"/>
    <w:rsid w:val="38A84452"/>
    <w:rsid w:val="38AD5CF5"/>
    <w:rsid w:val="38B3788A"/>
    <w:rsid w:val="38B6665E"/>
    <w:rsid w:val="38BB4CAF"/>
    <w:rsid w:val="38D82073"/>
    <w:rsid w:val="38E61E15"/>
    <w:rsid w:val="3926479E"/>
    <w:rsid w:val="392E109F"/>
    <w:rsid w:val="39474B1C"/>
    <w:rsid w:val="395203BE"/>
    <w:rsid w:val="3959072B"/>
    <w:rsid w:val="396147A9"/>
    <w:rsid w:val="396B362A"/>
    <w:rsid w:val="397B305D"/>
    <w:rsid w:val="39810BAF"/>
    <w:rsid w:val="39917744"/>
    <w:rsid w:val="39A41C51"/>
    <w:rsid w:val="39BA46D9"/>
    <w:rsid w:val="39ED01CA"/>
    <w:rsid w:val="39F055D8"/>
    <w:rsid w:val="39F647B9"/>
    <w:rsid w:val="3A187A98"/>
    <w:rsid w:val="3A2FE633"/>
    <w:rsid w:val="3A3F2EC4"/>
    <w:rsid w:val="3A5A22F9"/>
    <w:rsid w:val="3A865F28"/>
    <w:rsid w:val="3A871985"/>
    <w:rsid w:val="3A9B6FB8"/>
    <w:rsid w:val="3AA82343"/>
    <w:rsid w:val="3AA9013B"/>
    <w:rsid w:val="3AB464BA"/>
    <w:rsid w:val="3ACC4283"/>
    <w:rsid w:val="3AD87907"/>
    <w:rsid w:val="3AD969A0"/>
    <w:rsid w:val="3B0C6D37"/>
    <w:rsid w:val="3B252A87"/>
    <w:rsid w:val="3B2F5AFF"/>
    <w:rsid w:val="3B341F72"/>
    <w:rsid w:val="3B3F3155"/>
    <w:rsid w:val="3B584520"/>
    <w:rsid w:val="3B760946"/>
    <w:rsid w:val="3B847EB0"/>
    <w:rsid w:val="3B8B193D"/>
    <w:rsid w:val="3BA61B6C"/>
    <w:rsid w:val="3BBC39DE"/>
    <w:rsid w:val="3BBD05BD"/>
    <w:rsid w:val="3BBF49A7"/>
    <w:rsid w:val="3BCE2C8B"/>
    <w:rsid w:val="3BFFB3AC"/>
    <w:rsid w:val="3C2E58BA"/>
    <w:rsid w:val="3C3707FD"/>
    <w:rsid w:val="3C726F73"/>
    <w:rsid w:val="3C742408"/>
    <w:rsid w:val="3CA50398"/>
    <w:rsid w:val="3CAE221A"/>
    <w:rsid w:val="3CCC3296"/>
    <w:rsid w:val="3CCD7BCD"/>
    <w:rsid w:val="3CCE7635"/>
    <w:rsid w:val="3CD963ED"/>
    <w:rsid w:val="3CDF890E"/>
    <w:rsid w:val="3CFB7207"/>
    <w:rsid w:val="3D485829"/>
    <w:rsid w:val="3D4A44AD"/>
    <w:rsid w:val="3D5D11C3"/>
    <w:rsid w:val="3D6A278D"/>
    <w:rsid w:val="3D6C7658"/>
    <w:rsid w:val="3D7E95C9"/>
    <w:rsid w:val="3D7F3948"/>
    <w:rsid w:val="3D937B49"/>
    <w:rsid w:val="3DAB6C96"/>
    <w:rsid w:val="3DB250D2"/>
    <w:rsid w:val="3DC16BB5"/>
    <w:rsid w:val="3DD0B14B"/>
    <w:rsid w:val="3DEB241B"/>
    <w:rsid w:val="3DFFB92A"/>
    <w:rsid w:val="3E010AF2"/>
    <w:rsid w:val="3E37614D"/>
    <w:rsid w:val="3E54441C"/>
    <w:rsid w:val="3E5507A1"/>
    <w:rsid w:val="3E5E3D1B"/>
    <w:rsid w:val="3E66010C"/>
    <w:rsid w:val="3E674DBF"/>
    <w:rsid w:val="3E755FDD"/>
    <w:rsid w:val="3E847391"/>
    <w:rsid w:val="3EBA1482"/>
    <w:rsid w:val="3EC139D3"/>
    <w:rsid w:val="3ECF20E4"/>
    <w:rsid w:val="3ED41000"/>
    <w:rsid w:val="3EDD3F75"/>
    <w:rsid w:val="3EDE2F34"/>
    <w:rsid w:val="3EE44200"/>
    <w:rsid w:val="3EF34926"/>
    <w:rsid w:val="3F3E8D6C"/>
    <w:rsid w:val="3F4834B6"/>
    <w:rsid w:val="3F746392"/>
    <w:rsid w:val="3F7A702F"/>
    <w:rsid w:val="3F7F799B"/>
    <w:rsid w:val="3F8F07C3"/>
    <w:rsid w:val="3F9FC120"/>
    <w:rsid w:val="3FAE21A9"/>
    <w:rsid w:val="3FB33EAF"/>
    <w:rsid w:val="3FB34C67"/>
    <w:rsid w:val="3FC26D57"/>
    <w:rsid w:val="3FCC6AD3"/>
    <w:rsid w:val="3FDB3EBF"/>
    <w:rsid w:val="3FF70161"/>
    <w:rsid w:val="3FFBE840"/>
    <w:rsid w:val="40037A83"/>
    <w:rsid w:val="402A55C4"/>
    <w:rsid w:val="40336737"/>
    <w:rsid w:val="40357D82"/>
    <w:rsid w:val="403B25EA"/>
    <w:rsid w:val="40505F4B"/>
    <w:rsid w:val="40541530"/>
    <w:rsid w:val="40744439"/>
    <w:rsid w:val="407F53E7"/>
    <w:rsid w:val="409F2FA5"/>
    <w:rsid w:val="40A16AF0"/>
    <w:rsid w:val="40D36ADC"/>
    <w:rsid w:val="40DD7D3E"/>
    <w:rsid w:val="40F922AA"/>
    <w:rsid w:val="40FC0B8B"/>
    <w:rsid w:val="41087697"/>
    <w:rsid w:val="410F080F"/>
    <w:rsid w:val="4114424D"/>
    <w:rsid w:val="411702FD"/>
    <w:rsid w:val="41201857"/>
    <w:rsid w:val="412A2E8F"/>
    <w:rsid w:val="412F53A6"/>
    <w:rsid w:val="413E1150"/>
    <w:rsid w:val="414508EB"/>
    <w:rsid w:val="41471CEE"/>
    <w:rsid w:val="41736A99"/>
    <w:rsid w:val="41746B19"/>
    <w:rsid w:val="4186089B"/>
    <w:rsid w:val="418D3093"/>
    <w:rsid w:val="41C52A0C"/>
    <w:rsid w:val="41D0456F"/>
    <w:rsid w:val="41EB24FC"/>
    <w:rsid w:val="41F4599A"/>
    <w:rsid w:val="41F8770C"/>
    <w:rsid w:val="420C13E5"/>
    <w:rsid w:val="42186524"/>
    <w:rsid w:val="4239489A"/>
    <w:rsid w:val="425735D6"/>
    <w:rsid w:val="42581C2A"/>
    <w:rsid w:val="4267663F"/>
    <w:rsid w:val="428C0DF1"/>
    <w:rsid w:val="429A5937"/>
    <w:rsid w:val="429F2F6F"/>
    <w:rsid w:val="42AD126A"/>
    <w:rsid w:val="42B20A01"/>
    <w:rsid w:val="42E22FDA"/>
    <w:rsid w:val="430005FB"/>
    <w:rsid w:val="431A0E65"/>
    <w:rsid w:val="431D0056"/>
    <w:rsid w:val="432969AC"/>
    <w:rsid w:val="433411E5"/>
    <w:rsid w:val="43374C6E"/>
    <w:rsid w:val="435429B0"/>
    <w:rsid w:val="4367462C"/>
    <w:rsid w:val="43885523"/>
    <w:rsid w:val="43932107"/>
    <w:rsid w:val="43B10741"/>
    <w:rsid w:val="43B97D8F"/>
    <w:rsid w:val="43C40AC7"/>
    <w:rsid w:val="43CC7803"/>
    <w:rsid w:val="43E41B5B"/>
    <w:rsid w:val="44186225"/>
    <w:rsid w:val="44514578"/>
    <w:rsid w:val="44AC262C"/>
    <w:rsid w:val="45002CC2"/>
    <w:rsid w:val="450743F5"/>
    <w:rsid w:val="45552611"/>
    <w:rsid w:val="45786595"/>
    <w:rsid w:val="45DD7344"/>
    <w:rsid w:val="45E001CC"/>
    <w:rsid w:val="45FD7E4F"/>
    <w:rsid w:val="460E3E0D"/>
    <w:rsid w:val="461E4136"/>
    <w:rsid w:val="46242462"/>
    <w:rsid w:val="46445615"/>
    <w:rsid w:val="4657E65C"/>
    <w:rsid w:val="46632240"/>
    <w:rsid w:val="46AC5AA6"/>
    <w:rsid w:val="46C63724"/>
    <w:rsid w:val="46DF0E9A"/>
    <w:rsid w:val="46E81F14"/>
    <w:rsid w:val="46F40D95"/>
    <w:rsid w:val="47096CAB"/>
    <w:rsid w:val="470E747E"/>
    <w:rsid w:val="47124536"/>
    <w:rsid w:val="47142FA0"/>
    <w:rsid w:val="474659B4"/>
    <w:rsid w:val="47634963"/>
    <w:rsid w:val="476E58E3"/>
    <w:rsid w:val="477B5933"/>
    <w:rsid w:val="477F4738"/>
    <w:rsid w:val="4781685D"/>
    <w:rsid w:val="479223B1"/>
    <w:rsid w:val="47A821CB"/>
    <w:rsid w:val="47A82272"/>
    <w:rsid w:val="47A9799B"/>
    <w:rsid w:val="47B64629"/>
    <w:rsid w:val="47BE4037"/>
    <w:rsid w:val="47F56761"/>
    <w:rsid w:val="480B5135"/>
    <w:rsid w:val="48340AB6"/>
    <w:rsid w:val="485C7D81"/>
    <w:rsid w:val="487C1BCC"/>
    <w:rsid w:val="489B57F8"/>
    <w:rsid w:val="48CA6657"/>
    <w:rsid w:val="48CF4E04"/>
    <w:rsid w:val="48E4661F"/>
    <w:rsid w:val="48F57372"/>
    <w:rsid w:val="48F62BBB"/>
    <w:rsid w:val="49657A5D"/>
    <w:rsid w:val="497F4DF8"/>
    <w:rsid w:val="49A47775"/>
    <w:rsid w:val="49B732F1"/>
    <w:rsid w:val="49B76CB7"/>
    <w:rsid w:val="49D22F38"/>
    <w:rsid w:val="49EC346C"/>
    <w:rsid w:val="4A030171"/>
    <w:rsid w:val="4A365F45"/>
    <w:rsid w:val="4A3FA3EE"/>
    <w:rsid w:val="4A745D9D"/>
    <w:rsid w:val="4A852281"/>
    <w:rsid w:val="4A972820"/>
    <w:rsid w:val="4A9C467C"/>
    <w:rsid w:val="4ACC7C93"/>
    <w:rsid w:val="4AD17965"/>
    <w:rsid w:val="4AF55BA5"/>
    <w:rsid w:val="4AFD1B9E"/>
    <w:rsid w:val="4B221CBC"/>
    <w:rsid w:val="4B293735"/>
    <w:rsid w:val="4B3909BA"/>
    <w:rsid w:val="4B4748BF"/>
    <w:rsid w:val="4B4827D4"/>
    <w:rsid w:val="4B624C15"/>
    <w:rsid w:val="4B72393D"/>
    <w:rsid w:val="4B9464E6"/>
    <w:rsid w:val="4B9E51CC"/>
    <w:rsid w:val="4BE5C269"/>
    <w:rsid w:val="4C066BBE"/>
    <w:rsid w:val="4C2376D9"/>
    <w:rsid w:val="4C2D2355"/>
    <w:rsid w:val="4C48337D"/>
    <w:rsid w:val="4C4A14AC"/>
    <w:rsid w:val="4C632529"/>
    <w:rsid w:val="4C7B1260"/>
    <w:rsid w:val="4CCD6688"/>
    <w:rsid w:val="4D167AE9"/>
    <w:rsid w:val="4D2C250F"/>
    <w:rsid w:val="4D2F5CBA"/>
    <w:rsid w:val="4D45042C"/>
    <w:rsid w:val="4D4B2448"/>
    <w:rsid w:val="4D8765A7"/>
    <w:rsid w:val="4D890DEF"/>
    <w:rsid w:val="4D99283C"/>
    <w:rsid w:val="4DA222EA"/>
    <w:rsid w:val="4DAA1052"/>
    <w:rsid w:val="4DF73021"/>
    <w:rsid w:val="4E1C205F"/>
    <w:rsid w:val="4E217FEA"/>
    <w:rsid w:val="4E2E31A5"/>
    <w:rsid w:val="4E3F2CAA"/>
    <w:rsid w:val="4E4F3CEA"/>
    <w:rsid w:val="4E62251F"/>
    <w:rsid w:val="4E673808"/>
    <w:rsid w:val="4E761314"/>
    <w:rsid w:val="4E943CD2"/>
    <w:rsid w:val="4EA17FAE"/>
    <w:rsid w:val="4EB96475"/>
    <w:rsid w:val="4EC51F50"/>
    <w:rsid w:val="4ED72437"/>
    <w:rsid w:val="4EE51018"/>
    <w:rsid w:val="4EEC366D"/>
    <w:rsid w:val="4F102E5C"/>
    <w:rsid w:val="4F579D28"/>
    <w:rsid w:val="4F5A4AF8"/>
    <w:rsid w:val="4F6E3703"/>
    <w:rsid w:val="4F8F3CB6"/>
    <w:rsid w:val="4FCD48D4"/>
    <w:rsid w:val="4FE267A2"/>
    <w:rsid w:val="5028658F"/>
    <w:rsid w:val="505465B0"/>
    <w:rsid w:val="507B0E61"/>
    <w:rsid w:val="507B4885"/>
    <w:rsid w:val="508A77AF"/>
    <w:rsid w:val="509016B8"/>
    <w:rsid w:val="50AF4E53"/>
    <w:rsid w:val="50B07E4B"/>
    <w:rsid w:val="50EA0010"/>
    <w:rsid w:val="50FA18B5"/>
    <w:rsid w:val="5112665C"/>
    <w:rsid w:val="51266A33"/>
    <w:rsid w:val="5145546C"/>
    <w:rsid w:val="515007C1"/>
    <w:rsid w:val="519D33E7"/>
    <w:rsid w:val="51AC3561"/>
    <w:rsid w:val="51B11269"/>
    <w:rsid w:val="51D32B0A"/>
    <w:rsid w:val="51E61A6B"/>
    <w:rsid w:val="520C5D70"/>
    <w:rsid w:val="520F4C19"/>
    <w:rsid w:val="5228313E"/>
    <w:rsid w:val="52407168"/>
    <w:rsid w:val="5250552F"/>
    <w:rsid w:val="525F204A"/>
    <w:rsid w:val="527451CA"/>
    <w:rsid w:val="528D0E1A"/>
    <w:rsid w:val="529E0B57"/>
    <w:rsid w:val="52A96EBA"/>
    <w:rsid w:val="52CE30EA"/>
    <w:rsid w:val="52E55A8A"/>
    <w:rsid w:val="530E49A0"/>
    <w:rsid w:val="531855A7"/>
    <w:rsid w:val="532059F7"/>
    <w:rsid w:val="53260C85"/>
    <w:rsid w:val="535B7AFB"/>
    <w:rsid w:val="535F5F9C"/>
    <w:rsid w:val="536112E1"/>
    <w:rsid w:val="53805DA6"/>
    <w:rsid w:val="538232D9"/>
    <w:rsid w:val="53B04033"/>
    <w:rsid w:val="53C11A9A"/>
    <w:rsid w:val="53F9BA38"/>
    <w:rsid w:val="53FA4644"/>
    <w:rsid w:val="5408646D"/>
    <w:rsid w:val="54607CD5"/>
    <w:rsid w:val="54631FB0"/>
    <w:rsid w:val="546669CA"/>
    <w:rsid w:val="546C460E"/>
    <w:rsid w:val="54857525"/>
    <w:rsid w:val="54981F7F"/>
    <w:rsid w:val="54A24827"/>
    <w:rsid w:val="54CD0AB9"/>
    <w:rsid w:val="54DE0DA7"/>
    <w:rsid w:val="54E13E3C"/>
    <w:rsid w:val="54E56FD5"/>
    <w:rsid w:val="54FE3BAF"/>
    <w:rsid w:val="5513653B"/>
    <w:rsid w:val="551B203E"/>
    <w:rsid w:val="55385FBD"/>
    <w:rsid w:val="5539595C"/>
    <w:rsid w:val="553E4802"/>
    <w:rsid w:val="554A3E72"/>
    <w:rsid w:val="554C0043"/>
    <w:rsid w:val="55587790"/>
    <w:rsid w:val="558477DD"/>
    <w:rsid w:val="55A93AAA"/>
    <w:rsid w:val="55AD491E"/>
    <w:rsid w:val="55BB5984"/>
    <w:rsid w:val="55CA58A4"/>
    <w:rsid w:val="55E71F88"/>
    <w:rsid w:val="55F76BEE"/>
    <w:rsid w:val="5609415C"/>
    <w:rsid w:val="561202BD"/>
    <w:rsid w:val="561218DB"/>
    <w:rsid w:val="563263D1"/>
    <w:rsid w:val="56457165"/>
    <w:rsid w:val="56487FA6"/>
    <w:rsid w:val="564B204B"/>
    <w:rsid w:val="565066AB"/>
    <w:rsid w:val="565D6852"/>
    <w:rsid w:val="565F77C9"/>
    <w:rsid w:val="568E5DD1"/>
    <w:rsid w:val="56996BBB"/>
    <w:rsid w:val="56A7F41D"/>
    <w:rsid w:val="56BB405D"/>
    <w:rsid w:val="56CF696A"/>
    <w:rsid w:val="56F11733"/>
    <w:rsid w:val="56F27726"/>
    <w:rsid w:val="56FF616D"/>
    <w:rsid w:val="56FFA628"/>
    <w:rsid w:val="5708180B"/>
    <w:rsid w:val="57590A10"/>
    <w:rsid w:val="575A0E16"/>
    <w:rsid w:val="576A2478"/>
    <w:rsid w:val="576D51D2"/>
    <w:rsid w:val="576F0FE9"/>
    <w:rsid w:val="577243C4"/>
    <w:rsid w:val="57784B29"/>
    <w:rsid w:val="57820D45"/>
    <w:rsid w:val="57853E27"/>
    <w:rsid w:val="57A0029F"/>
    <w:rsid w:val="57A12274"/>
    <w:rsid w:val="57A7736B"/>
    <w:rsid w:val="57BA6A09"/>
    <w:rsid w:val="57CC1B8D"/>
    <w:rsid w:val="57DCA7C0"/>
    <w:rsid w:val="57ED08D0"/>
    <w:rsid w:val="57FE79B5"/>
    <w:rsid w:val="580E5D4F"/>
    <w:rsid w:val="582726A1"/>
    <w:rsid w:val="58290B1E"/>
    <w:rsid w:val="582B5BF5"/>
    <w:rsid w:val="582C5071"/>
    <w:rsid w:val="582E56AC"/>
    <w:rsid w:val="58304B22"/>
    <w:rsid w:val="583A65DD"/>
    <w:rsid w:val="584D231A"/>
    <w:rsid w:val="587765C3"/>
    <w:rsid w:val="588A3C63"/>
    <w:rsid w:val="58972637"/>
    <w:rsid w:val="58A5384F"/>
    <w:rsid w:val="58B40E33"/>
    <w:rsid w:val="58B97C2F"/>
    <w:rsid w:val="58BF0D90"/>
    <w:rsid w:val="58CE0B54"/>
    <w:rsid w:val="58E715DE"/>
    <w:rsid w:val="58F86CC0"/>
    <w:rsid w:val="58FF2BDB"/>
    <w:rsid w:val="591535A5"/>
    <w:rsid w:val="591C7D2C"/>
    <w:rsid w:val="592311FF"/>
    <w:rsid w:val="59322441"/>
    <w:rsid w:val="594F2C8A"/>
    <w:rsid w:val="5954522A"/>
    <w:rsid w:val="59554FEC"/>
    <w:rsid w:val="5959311B"/>
    <w:rsid w:val="595F636A"/>
    <w:rsid w:val="597B24A9"/>
    <w:rsid w:val="59AB6E2B"/>
    <w:rsid w:val="59BD4DBA"/>
    <w:rsid w:val="59CC322C"/>
    <w:rsid w:val="59DF1BA2"/>
    <w:rsid w:val="59E47360"/>
    <w:rsid w:val="59FF1ECB"/>
    <w:rsid w:val="59FFDFCC"/>
    <w:rsid w:val="5A17555E"/>
    <w:rsid w:val="5A1F344F"/>
    <w:rsid w:val="5A250C65"/>
    <w:rsid w:val="5A4963EB"/>
    <w:rsid w:val="5A4A7C3C"/>
    <w:rsid w:val="5A5A0BC2"/>
    <w:rsid w:val="5A755946"/>
    <w:rsid w:val="5A7B3CE7"/>
    <w:rsid w:val="5AA32039"/>
    <w:rsid w:val="5AAB3BEB"/>
    <w:rsid w:val="5ABA77FD"/>
    <w:rsid w:val="5AC274B2"/>
    <w:rsid w:val="5AE23B3A"/>
    <w:rsid w:val="5AE40D1D"/>
    <w:rsid w:val="5AEE6B93"/>
    <w:rsid w:val="5B04618A"/>
    <w:rsid w:val="5B100711"/>
    <w:rsid w:val="5B257EB5"/>
    <w:rsid w:val="5B3329E8"/>
    <w:rsid w:val="5B3B1C52"/>
    <w:rsid w:val="5B402412"/>
    <w:rsid w:val="5B626014"/>
    <w:rsid w:val="5B67263C"/>
    <w:rsid w:val="5B78539F"/>
    <w:rsid w:val="5B90055D"/>
    <w:rsid w:val="5B97BBC0"/>
    <w:rsid w:val="5BED59B0"/>
    <w:rsid w:val="5BFA8B27"/>
    <w:rsid w:val="5C014A25"/>
    <w:rsid w:val="5C023D19"/>
    <w:rsid w:val="5C054BD5"/>
    <w:rsid w:val="5C0E5F15"/>
    <w:rsid w:val="5C144FF8"/>
    <w:rsid w:val="5C267DBD"/>
    <w:rsid w:val="5C6C0EF4"/>
    <w:rsid w:val="5C725DB9"/>
    <w:rsid w:val="5C76653E"/>
    <w:rsid w:val="5C794535"/>
    <w:rsid w:val="5CA70254"/>
    <w:rsid w:val="5CB564CD"/>
    <w:rsid w:val="5CD925CC"/>
    <w:rsid w:val="5CE45005"/>
    <w:rsid w:val="5CEA3684"/>
    <w:rsid w:val="5D156F6C"/>
    <w:rsid w:val="5D1B787A"/>
    <w:rsid w:val="5D1D6CD7"/>
    <w:rsid w:val="5D2B0B2E"/>
    <w:rsid w:val="5D2B530A"/>
    <w:rsid w:val="5D2FA710"/>
    <w:rsid w:val="5D335644"/>
    <w:rsid w:val="5D3C13D4"/>
    <w:rsid w:val="5D445A67"/>
    <w:rsid w:val="5D470C3B"/>
    <w:rsid w:val="5D690EF2"/>
    <w:rsid w:val="5D727DCD"/>
    <w:rsid w:val="5D8949C2"/>
    <w:rsid w:val="5DA7264F"/>
    <w:rsid w:val="5DAF494C"/>
    <w:rsid w:val="5E0917DB"/>
    <w:rsid w:val="5E2A685C"/>
    <w:rsid w:val="5E620321"/>
    <w:rsid w:val="5E702E09"/>
    <w:rsid w:val="5E76632F"/>
    <w:rsid w:val="5E8C5954"/>
    <w:rsid w:val="5E993520"/>
    <w:rsid w:val="5EA90074"/>
    <w:rsid w:val="5EDE4851"/>
    <w:rsid w:val="5EDF87C0"/>
    <w:rsid w:val="5EFB4229"/>
    <w:rsid w:val="5EFE7390"/>
    <w:rsid w:val="5F0C5FCB"/>
    <w:rsid w:val="5F0E7EE5"/>
    <w:rsid w:val="5F2C199A"/>
    <w:rsid w:val="5F302088"/>
    <w:rsid w:val="5F3E7028"/>
    <w:rsid w:val="5F3F6CCA"/>
    <w:rsid w:val="5F443581"/>
    <w:rsid w:val="5F4B7314"/>
    <w:rsid w:val="5F577D10"/>
    <w:rsid w:val="5FAEF7D9"/>
    <w:rsid w:val="5FE34F4E"/>
    <w:rsid w:val="5FF84DBC"/>
    <w:rsid w:val="5FFCA6D9"/>
    <w:rsid w:val="60247E8C"/>
    <w:rsid w:val="6028758E"/>
    <w:rsid w:val="60681AA9"/>
    <w:rsid w:val="606C35B8"/>
    <w:rsid w:val="60751B42"/>
    <w:rsid w:val="60A53E33"/>
    <w:rsid w:val="60A74629"/>
    <w:rsid w:val="60AC411C"/>
    <w:rsid w:val="60BB7FBB"/>
    <w:rsid w:val="60F01E73"/>
    <w:rsid w:val="61001AFE"/>
    <w:rsid w:val="61040E58"/>
    <w:rsid w:val="61356691"/>
    <w:rsid w:val="613B3450"/>
    <w:rsid w:val="614079B7"/>
    <w:rsid w:val="614378B7"/>
    <w:rsid w:val="616C2131"/>
    <w:rsid w:val="617F2E77"/>
    <w:rsid w:val="617FEC64"/>
    <w:rsid w:val="61871450"/>
    <w:rsid w:val="61897F02"/>
    <w:rsid w:val="61B9542C"/>
    <w:rsid w:val="61BC3DF6"/>
    <w:rsid w:val="61BD661F"/>
    <w:rsid w:val="61EB7EEB"/>
    <w:rsid w:val="622223AE"/>
    <w:rsid w:val="62310DE3"/>
    <w:rsid w:val="623954AB"/>
    <w:rsid w:val="62445987"/>
    <w:rsid w:val="62593D55"/>
    <w:rsid w:val="625B3DE8"/>
    <w:rsid w:val="626A3031"/>
    <w:rsid w:val="62887D4C"/>
    <w:rsid w:val="62CD07F5"/>
    <w:rsid w:val="62D0361C"/>
    <w:rsid w:val="630C7063"/>
    <w:rsid w:val="631A352E"/>
    <w:rsid w:val="63212B0F"/>
    <w:rsid w:val="63370A0D"/>
    <w:rsid w:val="636957CE"/>
    <w:rsid w:val="638B01AE"/>
    <w:rsid w:val="639C08FA"/>
    <w:rsid w:val="63CB5639"/>
    <w:rsid w:val="63D31843"/>
    <w:rsid w:val="63D7528E"/>
    <w:rsid w:val="63EB17EA"/>
    <w:rsid w:val="63EE0517"/>
    <w:rsid w:val="63EE976C"/>
    <w:rsid w:val="63F51D00"/>
    <w:rsid w:val="64193B7E"/>
    <w:rsid w:val="64234D72"/>
    <w:rsid w:val="643C1282"/>
    <w:rsid w:val="647457B5"/>
    <w:rsid w:val="64775C18"/>
    <w:rsid w:val="64C22AF0"/>
    <w:rsid w:val="64D4770D"/>
    <w:rsid w:val="64E52F3A"/>
    <w:rsid w:val="64ED3966"/>
    <w:rsid w:val="650851CF"/>
    <w:rsid w:val="65152753"/>
    <w:rsid w:val="65281413"/>
    <w:rsid w:val="653F54CE"/>
    <w:rsid w:val="654D029D"/>
    <w:rsid w:val="65705687"/>
    <w:rsid w:val="65A06446"/>
    <w:rsid w:val="65A73073"/>
    <w:rsid w:val="65B22F0F"/>
    <w:rsid w:val="65FA6E8E"/>
    <w:rsid w:val="66070380"/>
    <w:rsid w:val="6637766A"/>
    <w:rsid w:val="66482802"/>
    <w:rsid w:val="665FFC74"/>
    <w:rsid w:val="66A9005C"/>
    <w:rsid w:val="66D97F96"/>
    <w:rsid w:val="66E013A6"/>
    <w:rsid w:val="66F9345B"/>
    <w:rsid w:val="670C73AA"/>
    <w:rsid w:val="670D7E82"/>
    <w:rsid w:val="671F17AA"/>
    <w:rsid w:val="672216C5"/>
    <w:rsid w:val="67511029"/>
    <w:rsid w:val="675C7C66"/>
    <w:rsid w:val="676CB3AF"/>
    <w:rsid w:val="676E38AA"/>
    <w:rsid w:val="676FC72B"/>
    <w:rsid w:val="677F1400"/>
    <w:rsid w:val="6781613B"/>
    <w:rsid w:val="6784218B"/>
    <w:rsid w:val="679E42F7"/>
    <w:rsid w:val="67BE2F78"/>
    <w:rsid w:val="67D00711"/>
    <w:rsid w:val="67DE3884"/>
    <w:rsid w:val="682B2264"/>
    <w:rsid w:val="68B730E1"/>
    <w:rsid w:val="68BA1DD7"/>
    <w:rsid w:val="68E82FCF"/>
    <w:rsid w:val="690F2341"/>
    <w:rsid w:val="69167066"/>
    <w:rsid w:val="694C682B"/>
    <w:rsid w:val="696960A5"/>
    <w:rsid w:val="69A1065B"/>
    <w:rsid w:val="69B36EA3"/>
    <w:rsid w:val="69B94CEF"/>
    <w:rsid w:val="69C14F0F"/>
    <w:rsid w:val="69C84D60"/>
    <w:rsid w:val="69D837FB"/>
    <w:rsid w:val="6A224611"/>
    <w:rsid w:val="6A307AAD"/>
    <w:rsid w:val="6A353DEF"/>
    <w:rsid w:val="6A365D2A"/>
    <w:rsid w:val="6A41166C"/>
    <w:rsid w:val="6A4C54DF"/>
    <w:rsid w:val="6A8F4802"/>
    <w:rsid w:val="6A9004EF"/>
    <w:rsid w:val="6A9F7652"/>
    <w:rsid w:val="6AA92536"/>
    <w:rsid w:val="6AAF0A00"/>
    <w:rsid w:val="6ACE3EE2"/>
    <w:rsid w:val="6ACEB0CF"/>
    <w:rsid w:val="6AE0649A"/>
    <w:rsid w:val="6AEC1BAC"/>
    <w:rsid w:val="6AF34516"/>
    <w:rsid w:val="6AF63C07"/>
    <w:rsid w:val="6B0311CD"/>
    <w:rsid w:val="6B1C66B9"/>
    <w:rsid w:val="6B2B45F9"/>
    <w:rsid w:val="6B432496"/>
    <w:rsid w:val="6B4F3909"/>
    <w:rsid w:val="6B6812CE"/>
    <w:rsid w:val="6B7A1587"/>
    <w:rsid w:val="6BB30653"/>
    <w:rsid w:val="6BBA7D10"/>
    <w:rsid w:val="6BCF2AB7"/>
    <w:rsid w:val="6BE1078C"/>
    <w:rsid w:val="6BE6657A"/>
    <w:rsid w:val="6BE882F2"/>
    <w:rsid w:val="6BF56847"/>
    <w:rsid w:val="6BFE5590"/>
    <w:rsid w:val="6C021D53"/>
    <w:rsid w:val="6C136E89"/>
    <w:rsid w:val="6C4C04D0"/>
    <w:rsid w:val="6C5600E1"/>
    <w:rsid w:val="6C615D2A"/>
    <w:rsid w:val="6C66743C"/>
    <w:rsid w:val="6C7748D6"/>
    <w:rsid w:val="6C7C104E"/>
    <w:rsid w:val="6CC22541"/>
    <w:rsid w:val="6CC37095"/>
    <w:rsid w:val="6CF15CF8"/>
    <w:rsid w:val="6CF17889"/>
    <w:rsid w:val="6CF9AC4B"/>
    <w:rsid w:val="6D1924E8"/>
    <w:rsid w:val="6D2D5F73"/>
    <w:rsid w:val="6D3F6527"/>
    <w:rsid w:val="6D46586C"/>
    <w:rsid w:val="6D70657F"/>
    <w:rsid w:val="6D923B98"/>
    <w:rsid w:val="6DAD00CC"/>
    <w:rsid w:val="6DF32838"/>
    <w:rsid w:val="6DFF0291"/>
    <w:rsid w:val="6E2E8975"/>
    <w:rsid w:val="6E556237"/>
    <w:rsid w:val="6E5B729B"/>
    <w:rsid w:val="6E8E5B80"/>
    <w:rsid w:val="6E9C4857"/>
    <w:rsid w:val="6EB5235D"/>
    <w:rsid w:val="6EB53622"/>
    <w:rsid w:val="6EFDE134"/>
    <w:rsid w:val="6F1D2825"/>
    <w:rsid w:val="6F244FEA"/>
    <w:rsid w:val="6F255DD2"/>
    <w:rsid w:val="6F4265B8"/>
    <w:rsid w:val="6F4E425C"/>
    <w:rsid w:val="6F5A7703"/>
    <w:rsid w:val="6F607BC9"/>
    <w:rsid w:val="6F6E2A00"/>
    <w:rsid w:val="6F7558DA"/>
    <w:rsid w:val="6F9F4899"/>
    <w:rsid w:val="6FC7414A"/>
    <w:rsid w:val="6FD91702"/>
    <w:rsid w:val="6FD9D1F0"/>
    <w:rsid w:val="6FDB6458"/>
    <w:rsid w:val="6FE128A3"/>
    <w:rsid w:val="6FEBC162"/>
    <w:rsid w:val="6FF85E23"/>
    <w:rsid w:val="6FFE8F58"/>
    <w:rsid w:val="6FFF6EB5"/>
    <w:rsid w:val="70035097"/>
    <w:rsid w:val="7005354B"/>
    <w:rsid w:val="70256351"/>
    <w:rsid w:val="702825AE"/>
    <w:rsid w:val="702F1FB4"/>
    <w:rsid w:val="70410F62"/>
    <w:rsid w:val="705200A3"/>
    <w:rsid w:val="7088462F"/>
    <w:rsid w:val="70940BF3"/>
    <w:rsid w:val="70C203C7"/>
    <w:rsid w:val="70DA28EF"/>
    <w:rsid w:val="714B77C1"/>
    <w:rsid w:val="7152012A"/>
    <w:rsid w:val="716D6CAA"/>
    <w:rsid w:val="719036C7"/>
    <w:rsid w:val="71D40438"/>
    <w:rsid w:val="71E12CF2"/>
    <w:rsid w:val="71E828D7"/>
    <w:rsid w:val="71EA0570"/>
    <w:rsid w:val="72003A49"/>
    <w:rsid w:val="722F6404"/>
    <w:rsid w:val="72436981"/>
    <w:rsid w:val="725143FA"/>
    <w:rsid w:val="72516702"/>
    <w:rsid w:val="727367A4"/>
    <w:rsid w:val="72901CD2"/>
    <w:rsid w:val="72964253"/>
    <w:rsid w:val="72AE6C65"/>
    <w:rsid w:val="731D30C4"/>
    <w:rsid w:val="73242CBC"/>
    <w:rsid w:val="732F04CB"/>
    <w:rsid w:val="734E4D8F"/>
    <w:rsid w:val="737449AC"/>
    <w:rsid w:val="737733D7"/>
    <w:rsid w:val="73855D87"/>
    <w:rsid w:val="73AD0D27"/>
    <w:rsid w:val="73BB30F7"/>
    <w:rsid w:val="73C04350"/>
    <w:rsid w:val="73D5384A"/>
    <w:rsid w:val="73F153C0"/>
    <w:rsid w:val="73FF5103"/>
    <w:rsid w:val="74081EAD"/>
    <w:rsid w:val="744C3B2F"/>
    <w:rsid w:val="744E3AC6"/>
    <w:rsid w:val="74536DEA"/>
    <w:rsid w:val="74545F1C"/>
    <w:rsid w:val="746B530C"/>
    <w:rsid w:val="747B1953"/>
    <w:rsid w:val="74C05B9C"/>
    <w:rsid w:val="74CB30C2"/>
    <w:rsid w:val="74DC206C"/>
    <w:rsid w:val="75130464"/>
    <w:rsid w:val="752B15CB"/>
    <w:rsid w:val="753B1DB4"/>
    <w:rsid w:val="75475D9F"/>
    <w:rsid w:val="7559447B"/>
    <w:rsid w:val="75711AD1"/>
    <w:rsid w:val="7576691B"/>
    <w:rsid w:val="757F07DF"/>
    <w:rsid w:val="758975C6"/>
    <w:rsid w:val="759A17E3"/>
    <w:rsid w:val="75A240F6"/>
    <w:rsid w:val="75BE6AA3"/>
    <w:rsid w:val="75D95F6E"/>
    <w:rsid w:val="761A356D"/>
    <w:rsid w:val="762D570E"/>
    <w:rsid w:val="763A41E4"/>
    <w:rsid w:val="764A4AD7"/>
    <w:rsid w:val="765B4861"/>
    <w:rsid w:val="765F66CF"/>
    <w:rsid w:val="766B1D0C"/>
    <w:rsid w:val="76733229"/>
    <w:rsid w:val="768F16E6"/>
    <w:rsid w:val="76A019A6"/>
    <w:rsid w:val="76A65DAB"/>
    <w:rsid w:val="76AA4771"/>
    <w:rsid w:val="76AE2EBD"/>
    <w:rsid w:val="76C021E7"/>
    <w:rsid w:val="76CC2D8E"/>
    <w:rsid w:val="76CC56FD"/>
    <w:rsid w:val="76FD427A"/>
    <w:rsid w:val="772C715B"/>
    <w:rsid w:val="773CB352"/>
    <w:rsid w:val="77444A58"/>
    <w:rsid w:val="776159DA"/>
    <w:rsid w:val="77732DEC"/>
    <w:rsid w:val="777FE311"/>
    <w:rsid w:val="77B94075"/>
    <w:rsid w:val="77BA4E88"/>
    <w:rsid w:val="77E53D1D"/>
    <w:rsid w:val="77EB2296"/>
    <w:rsid w:val="77ED3ECD"/>
    <w:rsid w:val="77FD0453"/>
    <w:rsid w:val="77FE0486"/>
    <w:rsid w:val="781041C0"/>
    <w:rsid w:val="783622B4"/>
    <w:rsid w:val="783E0085"/>
    <w:rsid w:val="78471A00"/>
    <w:rsid w:val="78483460"/>
    <w:rsid w:val="78585335"/>
    <w:rsid w:val="7859085A"/>
    <w:rsid w:val="785F23EC"/>
    <w:rsid w:val="786372CE"/>
    <w:rsid w:val="788104F7"/>
    <w:rsid w:val="78DB3308"/>
    <w:rsid w:val="78FC5BB8"/>
    <w:rsid w:val="7915706F"/>
    <w:rsid w:val="791C511C"/>
    <w:rsid w:val="79240F23"/>
    <w:rsid w:val="79464347"/>
    <w:rsid w:val="7946571E"/>
    <w:rsid w:val="794E780F"/>
    <w:rsid w:val="796055BB"/>
    <w:rsid w:val="796902A9"/>
    <w:rsid w:val="79733910"/>
    <w:rsid w:val="79A16AB1"/>
    <w:rsid w:val="79A758CD"/>
    <w:rsid w:val="79A7691F"/>
    <w:rsid w:val="79D6EA07"/>
    <w:rsid w:val="79D833A4"/>
    <w:rsid w:val="79E51D4C"/>
    <w:rsid w:val="79E74FD5"/>
    <w:rsid w:val="79ED2B82"/>
    <w:rsid w:val="79EF7E57"/>
    <w:rsid w:val="79FAF8B0"/>
    <w:rsid w:val="79FC3C1E"/>
    <w:rsid w:val="79FD70AD"/>
    <w:rsid w:val="7A062E30"/>
    <w:rsid w:val="7A3F9208"/>
    <w:rsid w:val="7A7F52D4"/>
    <w:rsid w:val="7AA85272"/>
    <w:rsid w:val="7ABA2066"/>
    <w:rsid w:val="7AD56B83"/>
    <w:rsid w:val="7AE87F1B"/>
    <w:rsid w:val="7AF43574"/>
    <w:rsid w:val="7AF7B30B"/>
    <w:rsid w:val="7AFB7120"/>
    <w:rsid w:val="7AFE8193"/>
    <w:rsid w:val="7B0703E4"/>
    <w:rsid w:val="7B1068D1"/>
    <w:rsid w:val="7B1323AE"/>
    <w:rsid w:val="7B1E01C6"/>
    <w:rsid w:val="7B2795C7"/>
    <w:rsid w:val="7B3034AD"/>
    <w:rsid w:val="7B402AFC"/>
    <w:rsid w:val="7B427F3E"/>
    <w:rsid w:val="7B6305F8"/>
    <w:rsid w:val="7B6E5D6D"/>
    <w:rsid w:val="7B7470FC"/>
    <w:rsid w:val="7B7C20E7"/>
    <w:rsid w:val="7B8D2D91"/>
    <w:rsid w:val="7B96534E"/>
    <w:rsid w:val="7B9B3C83"/>
    <w:rsid w:val="7BCF8C73"/>
    <w:rsid w:val="7BD241EA"/>
    <w:rsid w:val="7BD774EA"/>
    <w:rsid w:val="7BED5C8A"/>
    <w:rsid w:val="7BEFE12F"/>
    <w:rsid w:val="7BF35524"/>
    <w:rsid w:val="7C26677B"/>
    <w:rsid w:val="7C474A2D"/>
    <w:rsid w:val="7C6C31BA"/>
    <w:rsid w:val="7C766D7F"/>
    <w:rsid w:val="7C791BBA"/>
    <w:rsid w:val="7C7B0CF5"/>
    <w:rsid w:val="7C932A66"/>
    <w:rsid w:val="7C9A2642"/>
    <w:rsid w:val="7C9B2CFE"/>
    <w:rsid w:val="7C9C23A8"/>
    <w:rsid w:val="7CBB46B9"/>
    <w:rsid w:val="7CD74668"/>
    <w:rsid w:val="7CD80FF0"/>
    <w:rsid w:val="7CFFD870"/>
    <w:rsid w:val="7D021079"/>
    <w:rsid w:val="7D0D31DA"/>
    <w:rsid w:val="7D3A05B6"/>
    <w:rsid w:val="7D9069AB"/>
    <w:rsid w:val="7D9E2505"/>
    <w:rsid w:val="7DAFE082"/>
    <w:rsid w:val="7DBA10EA"/>
    <w:rsid w:val="7DBB13E0"/>
    <w:rsid w:val="7DDE3A49"/>
    <w:rsid w:val="7DDF1BF1"/>
    <w:rsid w:val="7DE1794A"/>
    <w:rsid w:val="7DEB52E2"/>
    <w:rsid w:val="7DEFF599"/>
    <w:rsid w:val="7DF6F86C"/>
    <w:rsid w:val="7DFA0025"/>
    <w:rsid w:val="7DFD95A1"/>
    <w:rsid w:val="7DFE9B48"/>
    <w:rsid w:val="7DFFD3E9"/>
    <w:rsid w:val="7DFFDD5A"/>
    <w:rsid w:val="7E164392"/>
    <w:rsid w:val="7E282D97"/>
    <w:rsid w:val="7E358180"/>
    <w:rsid w:val="7E3D5CB6"/>
    <w:rsid w:val="7E422F7F"/>
    <w:rsid w:val="7E4E769F"/>
    <w:rsid w:val="7E55032C"/>
    <w:rsid w:val="7E7D12D1"/>
    <w:rsid w:val="7E867872"/>
    <w:rsid w:val="7E9F3274"/>
    <w:rsid w:val="7EB54F02"/>
    <w:rsid w:val="7EBD5C4A"/>
    <w:rsid w:val="7EDF09C8"/>
    <w:rsid w:val="7EDF0D1F"/>
    <w:rsid w:val="7EED5ACB"/>
    <w:rsid w:val="7EEF2ED0"/>
    <w:rsid w:val="7EF53F61"/>
    <w:rsid w:val="7EFE88A6"/>
    <w:rsid w:val="7F080287"/>
    <w:rsid w:val="7F162E8D"/>
    <w:rsid w:val="7F293E73"/>
    <w:rsid w:val="7F5E25CF"/>
    <w:rsid w:val="7F674303"/>
    <w:rsid w:val="7F6F3051"/>
    <w:rsid w:val="7F6F8044"/>
    <w:rsid w:val="7F7E7A32"/>
    <w:rsid w:val="7F7F5250"/>
    <w:rsid w:val="7F7FDB0D"/>
    <w:rsid w:val="7F825C48"/>
    <w:rsid w:val="7F8BFCFD"/>
    <w:rsid w:val="7F91662F"/>
    <w:rsid w:val="7FB87EFF"/>
    <w:rsid w:val="7FC27F69"/>
    <w:rsid w:val="7FD8293C"/>
    <w:rsid w:val="7FDD3603"/>
    <w:rsid w:val="7FDDD481"/>
    <w:rsid w:val="7FE16567"/>
    <w:rsid w:val="7FEA45FD"/>
    <w:rsid w:val="7FEA4976"/>
    <w:rsid w:val="7FEE750F"/>
    <w:rsid w:val="7FEEA378"/>
    <w:rsid w:val="7FF58D51"/>
    <w:rsid w:val="7FF7C134"/>
    <w:rsid w:val="7FFE4F6D"/>
    <w:rsid w:val="8B5D645B"/>
    <w:rsid w:val="8DDB5EAC"/>
    <w:rsid w:val="8FD635EE"/>
    <w:rsid w:val="97FA2C78"/>
    <w:rsid w:val="9BEF9DFF"/>
    <w:rsid w:val="9FDF2AC4"/>
    <w:rsid w:val="A7B39CB7"/>
    <w:rsid w:val="A7EF84F0"/>
    <w:rsid w:val="A7FDE0E5"/>
    <w:rsid w:val="ABDFB134"/>
    <w:rsid w:val="ACFDAA63"/>
    <w:rsid w:val="ADDB2B25"/>
    <w:rsid w:val="AECB4F98"/>
    <w:rsid w:val="AF24BD89"/>
    <w:rsid w:val="AF6FCF79"/>
    <w:rsid w:val="AF7FA96E"/>
    <w:rsid w:val="AF9EE1F5"/>
    <w:rsid w:val="AFFF9C87"/>
    <w:rsid w:val="B3FEDB07"/>
    <w:rsid w:val="B7CBC680"/>
    <w:rsid w:val="B9FD299F"/>
    <w:rsid w:val="BBBFA095"/>
    <w:rsid w:val="BBF979CD"/>
    <w:rsid w:val="BD3FF6E0"/>
    <w:rsid w:val="BDD9E588"/>
    <w:rsid w:val="BDF5B24F"/>
    <w:rsid w:val="BE9BB842"/>
    <w:rsid w:val="BF95B818"/>
    <w:rsid w:val="BFB946ED"/>
    <w:rsid w:val="BFECD01A"/>
    <w:rsid w:val="BFFBED95"/>
    <w:rsid w:val="BFFE06D5"/>
    <w:rsid w:val="BFFFA00E"/>
    <w:rsid w:val="BFFFE94D"/>
    <w:rsid w:val="C9FF66FD"/>
    <w:rsid w:val="CABF2953"/>
    <w:rsid w:val="CCF58BD1"/>
    <w:rsid w:val="CF6F1BDF"/>
    <w:rsid w:val="CFED6B05"/>
    <w:rsid w:val="D3B9CF9C"/>
    <w:rsid w:val="D73FFD6A"/>
    <w:rsid w:val="D8BD0D99"/>
    <w:rsid w:val="DB2DB2ED"/>
    <w:rsid w:val="DBAF3F20"/>
    <w:rsid w:val="DBFB6035"/>
    <w:rsid w:val="DBFC990F"/>
    <w:rsid w:val="DDDFB633"/>
    <w:rsid w:val="DDFAECC1"/>
    <w:rsid w:val="DEEB7EFA"/>
    <w:rsid w:val="DF6B5949"/>
    <w:rsid w:val="DF6F7AC6"/>
    <w:rsid w:val="DF77B371"/>
    <w:rsid w:val="DF7DF85A"/>
    <w:rsid w:val="DFDEE869"/>
    <w:rsid w:val="DFF6B3A9"/>
    <w:rsid w:val="DFFFEF30"/>
    <w:rsid w:val="E5F74635"/>
    <w:rsid w:val="E63F650D"/>
    <w:rsid w:val="E6F9B49F"/>
    <w:rsid w:val="E777BDFF"/>
    <w:rsid w:val="E7BF39C8"/>
    <w:rsid w:val="E8DFC0A9"/>
    <w:rsid w:val="EAEAEA27"/>
    <w:rsid w:val="EAF60003"/>
    <w:rsid w:val="EAF633DB"/>
    <w:rsid w:val="EAF7135D"/>
    <w:rsid w:val="EBFD2D77"/>
    <w:rsid w:val="EDBF362F"/>
    <w:rsid w:val="EDDF4AB6"/>
    <w:rsid w:val="EDFF7471"/>
    <w:rsid w:val="EEBF6DEF"/>
    <w:rsid w:val="EECF2CFA"/>
    <w:rsid w:val="EEEFC946"/>
    <w:rsid w:val="EF5DAB01"/>
    <w:rsid w:val="EF5FCA02"/>
    <w:rsid w:val="EF6DAB2E"/>
    <w:rsid w:val="EFC23799"/>
    <w:rsid w:val="EFCD78B5"/>
    <w:rsid w:val="EFDDBE18"/>
    <w:rsid w:val="EFED66D8"/>
    <w:rsid w:val="F2AC2F2A"/>
    <w:rsid w:val="F5FCCE0A"/>
    <w:rsid w:val="F6FFC83D"/>
    <w:rsid w:val="F6FFFFD2"/>
    <w:rsid w:val="F757E4B6"/>
    <w:rsid w:val="F77E81C0"/>
    <w:rsid w:val="F7BE0748"/>
    <w:rsid w:val="F7EF2B08"/>
    <w:rsid w:val="F7F9A077"/>
    <w:rsid w:val="F7FC1068"/>
    <w:rsid w:val="F7FD4E51"/>
    <w:rsid w:val="F89F29D0"/>
    <w:rsid w:val="F97B9391"/>
    <w:rsid w:val="F9BF13CF"/>
    <w:rsid w:val="FBAFD6C8"/>
    <w:rsid w:val="FBBBB61B"/>
    <w:rsid w:val="FBE7C778"/>
    <w:rsid w:val="FBEB0E56"/>
    <w:rsid w:val="FBED093F"/>
    <w:rsid w:val="FBFFD159"/>
    <w:rsid w:val="FCBD01C5"/>
    <w:rsid w:val="FCEEAFA9"/>
    <w:rsid w:val="FD6B682A"/>
    <w:rsid w:val="FD7574C3"/>
    <w:rsid w:val="FD7F62CF"/>
    <w:rsid w:val="FDDE4C4C"/>
    <w:rsid w:val="FDFB21C3"/>
    <w:rsid w:val="FEBF5BA7"/>
    <w:rsid w:val="FECE8492"/>
    <w:rsid w:val="FEFB30A6"/>
    <w:rsid w:val="FF7583F3"/>
    <w:rsid w:val="FF794A6D"/>
    <w:rsid w:val="FF9E5801"/>
    <w:rsid w:val="FFAF94E6"/>
    <w:rsid w:val="FFB7DAE4"/>
    <w:rsid w:val="FFB7F5A1"/>
    <w:rsid w:val="FFBB2C39"/>
    <w:rsid w:val="FFBF4627"/>
    <w:rsid w:val="FFCD67D1"/>
    <w:rsid w:val="FFDA55BB"/>
    <w:rsid w:val="FFDF7751"/>
    <w:rsid w:val="FFDF895C"/>
    <w:rsid w:val="FFEB7E45"/>
    <w:rsid w:val="FFEDEB54"/>
    <w:rsid w:val="FFEF397B"/>
    <w:rsid w:val="FFF7E245"/>
    <w:rsid w:val="FFFBDBE7"/>
    <w:rsid w:val="FFFD09BB"/>
    <w:rsid w:val="FFFE7359"/>
    <w:rsid w:val="FFFF4142"/>
    <w:rsid w:val="FFFF58F3"/>
    <w:rsid w:val="FFFFBC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0"/>
    <w:pPr>
      <w:keepNext/>
      <w:keepLines/>
      <w:spacing w:line="560" w:lineRule="exact"/>
      <w:outlineLvl w:val="0"/>
    </w:pPr>
    <w:rPr>
      <w:rFonts w:eastAsia="黑体"/>
      <w:b/>
      <w:bCs/>
      <w:kern w:val="44"/>
      <w:sz w:val="32"/>
      <w:szCs w:val="44"/>
    </w:rPr>
  </w:style>
  <w:style w:type="paragraph" w:styleId="5">
    <w:name w:val="heading 2"/>
    <w:basedOn w:val="1"/>
    <w:next w:val="1"/>
    <w:qFormat/>
    <w:uiPriority w:val="0"/>
    <w:pPr>
      <w:keepNext/>
      <w:keepLines/>
      <w:spacing w:before="260" w:after="260" w:line="416" w:lineRule="auto"/>
      <w:outlineLvl w:val="1"/>
    </w:pPr>
    <w:rPr>
      <w:rFonts w:ascii="Cambria" w:hAnsi="Cambria"/>
      <w:b/>
      <w:bCs/>
      <w:sz w:val="32"/>
      <w:szCs w:val="32"/>
    </w:rPr>
  </w:style>
  <w:style w:type="paragraph" w:styleId="6">
    <w:name w:val="heading 3"/>
    <w:basedOn w:val="1"/>
    <w:next w:val="1"/>
    <w:link w:val="64"/>
    <w:unhideWhenUsed/>
    <w:qFormat/>
    <w:uiPriority w:val="0"/>
    <w:pPr>
      <w:keepNext/>
      <w:keepLines/>
      <w:spacing w:before="260" w:after="260" w:line="416" w:lineRule="auto"/>
      <w:outlineLvl w:val="2"/>
    </w:pPr>
    <w:rPr>
      <w:b/>
      <w:bCs/>
      <w:sz w:val="32"/>
      <w:szCs w:val="32"/>
    </w:rPr>
  </w:style>
  <w:style w:type="paragraph" w:styleId="7">
    <w:name w:val="heading 5"/>
    <w:basedOn w:val="1"/>
    <w:next w:val="1"/>
    <w:link w:val="56"/>
    <w:qFormat/>
    <w:uiPriority w:val="0"/>
    <w:pPr>
      <w:keepNext/>
      <w:keepLines/>
      <w:spacing w:before="280" w:after="290" w:line="372" w:lineRule="auto"/>
      <w:ind w:left="1008" w:hanging="1008"/>
      <w:outlineLvl w:val="4"/>
    </w:pPr>
    <w:rPr>
      <w:rFonts w:ascii="Times New Roman" w:hAnsi="Times New Roman"/>
      <w:b/>
      <w:sz w:val="28"/>
    </w:rPr>
  </w:style>
  <w:style w:type="paragraph" w:styleId="8">
    <w:name w:val="heading 6"/>
    <w:basedOn w:val="1"/>
    <w:next w:val="1"/>
    <w:link w:val="57"/>
    <w:qFormat/>
    <w:uiPriority w:val="0"/>
    <w:pPr>
      <w:keepNext/>
      <w:keepLines/>
      <w:spacing w:before="240" w:after="64" w:line="317" w:lineRule="auto"/>
      <w:ind w:left="1151" w:hanging="1151"/>
      <w:outlineLvl w:val="5"/>
    </w:pPr>
    <w:rPr>
      <w:rFonts w:ascii="Arial" w:hAnsi="Arial" w:eastAsia="黑体"/>
      <w:b/>
      <w:sz w:val="24"/>
    </w:rPr>
  </w:style>
  <w:style w:type="paragraph" w:styleId="9">
    <w:name w:val="heading 7"/>
    <w:basedOn w:val="1"/>
    <w:next w:val="1"/>
    <w:link w:val="58"/>
    <w:qFormat/>
    <w:uiPriority w:val="0"/>
    <w:pPr>
      <w:keepNext/>
      <w:keepLines/>
      <w:spacing w:before="240" w:after="64" w:line="317" w:lineRule="auto"/>
      <w:ind w:left="1296" w:hanging="1296"/>
      <w:outlineLvl w:val="6"/>
    </w:pPr>
    <w:rPr>
      <w:rFonts w:ascii="Times New Roman" w:hAnsi="Times New Roman"/>
      <w:b/>
      <w:sz w:val="24"/>
    </w:rPr>
  </w:style>
  <w:style w:type="paragraph" w:styleId="10">
    <w:name w:val="heading 8"/>
    <w:basedOn w:val="1"/>
    <w:next w:val="1"/>
    <w:link w:val="59"/>
    <w:qFormat/>
    <w:uiPriority w:val="0"/>
    <w:pPr>
      <w:keepNext/>
      <w:keepLines/>
      <w:spacing w:before="240" w:after="64" w:line="317" w:lineRule="auto"/>
      <w:ind w:left="1440" w:hanging="1440"/>
      <w:outlineLvl w:val="7"/>
    </w:pPr>
    <w:rPr>
      <w:rFonts w:ascii="Arial" w:hAnsi="Arial" w:eastAsia="黑体"/>
      <w:sz w:val="24"/>
    </w:rPr>
  </w:style>
  <w:style w:type="paragraph" w:styleId="11">
    <w:name w:val="heading 9"/>
    <w:basedOn w:val="1"/>
    <w:next w:val="1"/>
    <w:link w:val="60"/>
    <w:qFormat/>
    <w:uiPriority w:val="0"/>
    <w:pPr>
      <w:keepNext/>
      <w:keepLines/>
      <w:spacing w:before="240" w:after="64" w:line="317" w:lineRule="auto"/>
      <w:ind w:left="1583" w:hanging="1583"/>
      <w:outlineLvl w:val="8"/>
    </w:pPr>
    <w:rPr>
      <w:rFonts w:ascii="Arial" w:hAnsi="Arial" w:eastAsia="黑体"/>
    </w:rPr>
  </w:style>
  <w:style w:type="character" w:default="1" w:styleId="27">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Title"/>
    <w:basedOn w:val="1"/>
    <w:next w:val="1"/>
    <w:qFormat/>
    <w:uiPriority w:val="0"/>
    <w:pPr>
      <w:spacing w:line="360" w:lineRule="auto"/>
      <w:jc w:val="center"/>
      <w:outlineLvl w:val="0"/>
    </w:pPr>
    <w:rPr>
      <w:rFonts w:ascii="Cambria" w:hAnsi="Cambria"/>
      <w:b/>
      <w:bCs/>
      <w:sz w:val="32"/>
      <w:szCs w:val="32"/>
      <w:lang w:eastAsia="en-US" w:bidi="en-US"/>
    </w:rPr>
  </w:style>
  <w:style w:type="paragraph" w:styleId="12">
    <w:name w:val="Normal Indent"/>
    <w:basedOn w:val="1"/>
    <w:next w:val="1"/>
    <w:unhideWhenUsed/>
    <w:qFormat/>
    <w:uiPriority w:val="99"/>
    <w:pPr>
      <w:ind w:firstLine="640" w:firstLineChars="200"/>
    </w:pPr>
    <w:rPr>
      <w:rFonts w:ascii="仿宋_GB2312" w:hAnsi="仿宋" w:eastAsia="仿宋_GB2312" w:cs="仿宋"/>
      <w:sz w:val="32"/>
      <w:szCs w:val="32"/>
    </w:rPr>
  </w:style>
  <w:style w:type="paragraph" w:styleId="13">
    <w:name w:val="Document Map"/>
    <w:basedOn w:val="1"/>
    <w:link w:val="51"/>
    <w:qFormat/>
    <w:uiPriority w:val="0"/>
    <w:rPr>
      <w:rFonts w:ascii="宋体"/>
      <w:sz w:val="18"/>
      <w:szCs w:val="18"/>
    </w:rPr>
  </w:style>
  <w:style w:type="paragraph" w:styleId="14">
    <w:name w:val="annotation text"/>
    <w:basedOn w:val="1"/>
    <w:link w:val="49"/>
    <w:qFormat/>
    <w:uiPriority w:val="0"/>
    <w:pPr>
      <w:jc w:val="left"/>
    </w:pPr>
  </w:style>
  <w:style w:type="paragraph" w:styleId="15">
    <w:name w:val="Body Text Indent"/>
    <w:basedOn w:val="1"/>
    <w:qFormat/>
    <w:uiPriority w:val="0"/>
    <w:pPr>
      <w:spacing w:after="120"/>
      <w:ind w:left="420" w:leftChars="200"/>
    </w:pPr>
  </w:style>
  <w:style w:type="paragraph" w:styleId="16">
    <w:name w:val="Plain Text"/>
    <w:basedOn w:val="1"/>
    <w:qFormat/>
    <w:uiPriority w:val="0"/>
    <w:pPr>
      <w:spacing w:line="360" w:lineRule="auto"/>
      <w:ind w:firstLine="200" w:firstLineChars="200"/>
    </w:pPr>
    <w:rPr>
      <w:rFonts w:ascii="宋体" w:hAnsi="Courier New"/>
      <w:sz w:val="24"/>
    </w:rPr>
  </w:style>
  <w:style w:type="paragraph" w:styleId="17">
    <w:name w:val="Balloon Text"/>
    <w:basedOn w:val="1"/>
    <w:link w:val="48"/>
    <w:qFormat/>
    <w:uiPriority w:val="0"/>
    <w:rPr>
      <w:sz w:val="18"/>
      <w:szCs w:val="18"/>
    </w:rPr>
  </w:style>
  <w:style w:type="paragraph" w:styleId="18">
    <w:name w:val="footer"/>
    <w:basedOn w:val="1"/>
    <w:qFormat/>
    <w:uiPriority w:val="99"/>
    <w:pPr>
      <w:tabs>
        <w:tab w:val="center" w:pos="4153"/>
        <w:tab w:val="right" w:pos="8306"/>
      </w:tabs>
      <w:snapToGrid w:val="0"/>
      <w:ind w:right="210" w:rightChars="100"/>
      <w:jc w:val="right"/>
    </w:pPr>
    <w:rPr>
      <w:sz w:val="18"/>
      <w:szCs w:val="18"/>
      <w:lang w:val="zh-CN"/>
    </w:rPr>
  </w:style>
  <w:style w:type="paragraph" w:styleId="1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0">
    <w:name w:val="toc 1"/>
    <w:basedOn w:val="1"/>
    <w:next w:val="1"/>
    <w:qFormat/>
    <w:uiPriority w:val="0"/>
    <w:pPr>
      <w:tabs>
        <w:tab w:val="left" w:pos="840"/>
        <w:tab w:val="right" w:leader="dot" w:pos="8296"/>
      </w:tabs>
    </w:pPr>
  </w:style>
  <w:style w:type="paragraph" w:styleId="21">
    <w:name w:val="footnote text"/>
    <w:basedOn w:val="1"/>
    <w:qFormat/>
    <w:uiPriority w:val="0"/>
    <w:pPr>
      <w:snapToGrid w:val="0"/>
      <w:jc w:val="left"/>
    </w:pPr>
    <w:rPr>
      <w:sz w:val="18"/>
    </w:rPr>
  </w:style>
  <w:style w:type="paragraph" w:styleId="22">
    <w:name w:val="toc 2"/>
    <w:basedOn w:val="1"/>
    <w:next w:val="1"/>
    <w:qFormat/>
    <w:uiPriority w:val="0"/>
    <w:pPr>
      <w:ind w:left="420" w:leftChars="200"/>
    </w:pPr>
  </w:style>
  <w:style w:type="paragraph" w:styleId="23">
    <w:name w:val="Normal (Web)"/>
    <w:basedOn w:val="1"/>
    <w:qFormat/>
    <w:uiPriority w:val="0"/>
    <w:pPr>
      <w:spacing w:beforeAutospacing="1" w:afterAutospacing="1"/>
      <w:jc w:val="left"/>
    </w:pPr>
    <w:rPr>
      <w:kern w:val="0"/>
      <w:sz w:val="24"/>
    </w:rPr>
  </w:style>
  <w:style w:type="paragraph" w:styleId="24">
    <w:name w:val="annotation subject"/>
    <w:basedOn w:val="14"/>
    <w:next w:val="14"/>
    <w:link w:val="50"/>
    <w:qFormat/>
    <w:uiPriority w:val="0"/>
    <w:rPr>
      <w:b/>
      <w:bCs/>
    </w:rPr>
  </w:style>
  <w:style w:type="paragraph" w:styleId="25">
    <w:name w:val="Body Text First Indent 2"/>
    <w:basedOn w:val="15"/>
    <w:qFormat/>
    <w:uiPriority w:val="0"/>
    <w:pPr>
      <w:ind w:firstLine="420" w:firstLineChars="200"/>
    </w:pPr>
    <w:rPr>
      <w:lang w:val="zh-CN"/>
    </w:rPr>
  </w:style>
  <w:style w:type="character" w:styleId="28">
    <w:name w:val="Strong"/>
    <w:basedOn w:val="27"/>
    <w:qFormat/>
    <w:uiPriority w:val="0"/>
    <w:rPr>
      <w:b/>
    </w:rPr>
  </w:style>
  <w:style w:type="character" w:styleId="29">
    <w:name w:val="annotation reference"/>
    <w:basedOn w:val="27"/>
    <w:qFormat/>
    <w:uiPriority w:val="0"/>
    <w:rPr>
      <w:sz w:val="21"/>
      <w:szCs w:val="21"/>
    </w:rPr>
  </w:style>
  <w:style w:type="character" w:styleId="30">
    <w:name w:val="footnote reference"/>
    <w:basedOn w:val="27"/>
    <w:qFormat/>
    <w:uiPriority w:val="0"/>
    <w:rPr>
      <w:vertAlign w:val="superscript"/>
    </w:rPr>
  </w:style>
  <w:style w:type="paragraph" w:customStyle="1" w:styleId="31">
    <w:name w:val="列出段落11"/>
    <w:basedOn w:val="1"/>
    <w:qFormat/>
    <w:uiPriority w:val="0"/>
    <w:pPr>
      <w:ind w:firstLine="420" w:firstLineChars="200"/>
    </w:pPr>
  </w:style>
  <w:style w:type="paragraph" w:customStyle="1" w:styleId="32">
    <w:name w:val="样式10"/>
    <w:basedOn w:val="33"/>
    <w:qFormat/>
    <w:uiPriority w:val="0"/>
    <w:pPr>
      <w:numPr>
        <w:numId w:val="1"/>
      </w:numPr>
      <w:tabs>
        <w:tab w:val="left" w:pos="720"/>
      </w:tabs>
    </w:pPr>
    <w:rPr>
      <w:rFonts w:ascii="仿宋" w:hAnsi="仿宋" w:eastAsia="仿宋"/>
      <w:kern w:val="44"/>
    </w:rPr>
  </w:style>
  <w:style w:type="paragraph" w:customStyle="1" w:styleId="33">
    <w:name w:val="样式62"/>
    <w:basedOn w:val="1"/>
    <w:qFormat/>
    <w:uiPriority w:val="0"/>
    <w:pPr>
      <w:keepNext/>
      <w:keepLines/>
      <w:numPr>
        <w:ilvl w:val="1"/>
        <w:numId w:val="2"/>
      </w:numPr>
      <w:tabs>
        <w:tab w:val="left" w:pos="720"/>
      </w:tabs>
      <w:spacing w:line="360" w:lineRule="auto"/>
      <w:outlineLvl w:val="1"/>
    </w:pPr>
    <w:rPr>
      <w:rFonts w:ascii="Arial" w:hAnsi="Arial" w:eastAsia="黑体"/>
      <w:b/>
      <w:bCs/>
      <w:sz w:val="32"/>
      <w:szCs w:val="32"/>
    </w:rPr>
  </w:style>
  <w:style w:type="paragraph" w:customStyle="1" w:styleId="34">
    <w:name w:val="TOC 标题1"/>
    <w:basedOn w:val="4"/>
    <w:next w:val="1"/>
    <w:qFormat/>
    <w:uiPriority w:val="0"/>
    <w:pPr>
      <w:outlineLvl w:val="9"/>
    </w:pPr>
    <w:rPr>
      <w:rFonts w:eastAsia="宋体"/>
    </w:rPr>
  </w:style>
  <w:style w:type="paragraph" w:customStyle="1" w:styleId="35">
    <w:name w:val="列出段落1"/>
    <w:basedOn w:val="1"/>
    <w:qFormat/>
    <w:uiPriority w:val="0"/>
    <w:pPr>
      <w:ind w:firstLine="420" w:firstLineChars="200"/>
    </w:pPr>
  </w:style>
  <w:style w:type="paragraph" w:customStyle="1" w:styleId="36">
    <w:name w:val="样式58"/>
    <w:basedOn w:val="1"/>
    <w:qFormat/>
    <w:uiPriority w:val="0"/>
    <w:pPr>
      <w:keepNext/>
      <w:keepLines/>
      <w:pageBreakBefore/>
      <w:numPr>
        <w:ilvl w:val="0"/>
        <w:numId w:val="3"/>
      </w:numPr>
      <w:spacing w:before="240" w:after="240" w:line="360" w:lineRule="auto"/>
      <w:ind w:left="539" w:hanging="539"/>
      <w:outlineLvl w:val="0"/>
    </w:pPr>
    <w:rPr>
      <w:rFonts w:ascii="黑体" w:hAnsi="黑体" w:eastAsia="黑体"/>
      <w:b/>
      <w:bCs/>
      <w:kern w:val="44"/>
      <w:sz w:val="36"/>
      <w:szCs w:val="36"/>
    </w:rPr>
  </w:style>
  <w:style w:type="paragraph" w:customStyle="1" w:styleId="37">
    <w:name w:val="第一条"/>
    <w:basedOn w:val="1"/>
    <w:next w:val="12"/>
    <w:qFormat/>
    <w:uiPriority w:val="0"/>
    <w:pPr>
      <w:spacing w:line="360" w:lineRule="auto"/>
      <w:jc w:val="center"/>
    </w:pPr>
    <w:rPr>
      <w:rFonts w:hAnsi="宋体"/>
      <w:sz w:val="24"/>
    </w:rPr>
  </w:style>
  <w:style w:type="paragraph" w:customStyle="1" w:styleId="38">
    <w:name w:val="细则1级标题"/>
    <w:basedOn w:val="39"/>
    <w:qFormat/>
    <w:uiPriority w:val="0"/>
    <w:pPr>
      <w:pageBreakBefore w:val="0"/>
      <w:spacing w:beforeLines="50" w:line="560" w:lineRule="exact"/>
    </w:pPr>
    <w:rPr>
      <w:rFonts w:eastAsia="华文仿宋"/>
    </w:rPr>
  </w:style>
  <w:style w:type="paragraph" w:customStyle="1" w:styleId="39">
    <w:name w:val="样式9"/>
    <w:basedOn w:val="36"/>
    <w:qFormat/>
    <w:uiPriority w:val="0"/>
    <w:pPr>
      <w:numPr>
        <w:numId w:val="4"/>
      </w:numPr>
      <w:spacing w:before="0" w:after="0"/>
    </w:pPr>
    <w:rPr>
      <w:rFonts w:ascii="仿宋" w:hAnsi="仿宋" w:eastAsia="仿宋"/>
      <w:sz w:val="32"/>
      <w:szCs w:val="32"/>
    </w:rPr>
  </w:style>
  <w:style w:type="paragraph" w:customStyle="1" w:styleId="40">
    <w:name w:val="条款"/>
    <w:basedOn w:val="37"/>
    <w:qFormat/>
    <w:uiPriority w:val="0"/>
    <w:pPr>
      <w:numPr>
        <w:ilvl w:val="0"/>
        <w:numId w:val="5"/>
      </w:numPr>
      <w:tabs>
        <w:tab w:val="left" w:pos="0"/>
        <w:tab w:val="left" w:pos="2268"/>
      </w:tabs>
      <w:spacing w:line="240" w:lineRule="auto"/>
      <w:jc w:val="left"/>
    </w:pPr>
    <w:rPr>
      <w:rFonts w:ascii="仿宋_GB2312" w:hAnsi="仿宋_GB2312" w:eastAsia="仿宋_GB2312" w:cs="仿宋"/>
      <w:sz w:val="32"/>
      <w:szCs w:val="32"/>
      <w:lang w:val="zh-CN"/>
    </w:rPr>
  </w:style>
  <w:style w:type="paragraph" w:customStyle="1" w:styleId="41">
    <w:name w:val="样式11"/>
    <w:basedOn w:val="42"/>
    <w:qFormat/>
    <w:uiPriority w:val="0"/>
    <w:pPr>
      <w:numPr>
        <w:ilvl w:val="0"/>
        <w:numId w:val="1"/>
      </w:numPr>
    </w:pPr>
    <w:rPr>
      <w:rFonts w:ascii="仿宋" w:hAnsi="仿宋" w:eastAsia="仿宋"/>
      <w:kern w:val="44"/>
      <w:sz w:val="32"/>
      <w:szCs w:val="32"/>
    </w:rPr>
  </w:style>
  <w:style w:type="paragraph" w:customStyle="1" w:styleId="42">
    <w:name w:val="样式55"/>
    <w:basedOn w:val="1"/>
    <w:qFormat/>
    <w:uiPriority w:val="0"/>
    <w:pPr>
      <w:keepNext/>
      <w:keepLines/>
      <w:numPr>
        <w:ilvl w:val="2"/>
        <w:numId w:val="2"/>
      </w:numPr>
      <w:spacing w:line="360" w:lineRule="auto"/>
      <w:outlineLvl w:val="2"/>
    </w:pPr>
    <w:rPr>
      <w:rFonts w:ascii="Arial" w:hAnsi="黑体" w:eastAsia="黑体"/>
      <w:b/>
      <w:bCs/>
      <w:sz w:val="30"/>
      <w:szCs w:val="30"/>
    </w:rPr>
  </w:style>
  <w:style w:type="paragraph" w:customStyle="1" w:styleId="4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44">
    <w:name w:val="样式14"/>
    <w:basedOn w:val="41"/>
    <w:qFormat/>
    <w:uiPriority w:val="0"/>
  </w:style>
  <w:style w:type="paragraph" w:customStyle="1" w:styleId="45">
    <w:name w:val="WPSOffice手动目录 1"/>
    <w:qFormat/>
    <w:uiPriority w:val="0"/>
    <w:rPr>
      <w:rFonts w:ascii="Times New Roman" w:hAnsi="Times New Roman" w:eastAsia="宋体" w:cs="Times New Roman"/>
      <w:lang w:val="en-US" w:eastAsia="zh-CN" w:bidi="ar-SA"/>
    </w:rPr>
  </w:style>
  <w:style w:type="paragraph" w:customStyle="1" w:styleId="46">
    <w:name w:val="条"/>
    <w:basedOn w:val="1"/>
    <w:qFormat/>
    <w:uiPriority w:val="0"/>
    <w:pPr>
      <w:numPr>
        <w:ilvl w:val="0"/>
        <w:numId w:val="6"/>
      </w:numPr>
    </w:pPr>
    <w:rPr>
      <w:rFonts w:ascii="Times New Roman" w:hAnsi="Times New Roman" w:eastAsia="仿宋_GB2312"/>
      <w:sz w:val="32"/>
    </w:rPr>
  </w:style>
  <w:style w:type="character" w:customStyle="1" w:styleId="47">
    <w:name w:val="fontstyle01"/>
    <w:basedOn w:val="27"/>
    <w:qFormat/>
    <w:uiPriority w:val="0"/>
    <w:rPr>
      <w:rFonts w:ascii="仿宋" w:hAnsi="仿宋" w:eastAsia="仿宋" w:cs="仿宋"/>
      <w:color w:val="000000"/>
      <w:sz w:val="32"/>
      <w:szCs w:val="32"/>
    </w:rPr>
  </w:style>
  <w:style w:type="character" w:customStyle="1" w:styleId="48">
    <w:name w:val="批注框文本 Char"/>
    <w:basedOn w:val="27"/>
    <w:link w:val="17"/>
    <w:qFormat/>
    <w:uiPriority w:val="0"/>
    <w:rPr>
      <w:rFonts w:ascii="Calibri" w:hAnsi="Calibri"/>
      <w:kern w:val="2"/>
      <w:sz w:val="18"/>
      <w:szCs w:val="18"/>
    </w:rPr>
  </w:style>
  <w:style w:type="character" w:customStyle="1" w:styleId="49">
    <w:name w:val="批注文字 Char"/>
    <w:basedOn w:val="27"/>
    <w:link w:val="14"/>
    <w:qFormat/>
    <w:uiPriority w:val="0"/>
    <w:rPr>
      <w:rFonts w:ascii="Calibri" w:hAnsi="Calibri"/>
      <w:kern w:val="2"/>
      <w:sz w:val="21"/>
      <w:szCs w:val="24"/>
    </w:rPr>
  </w:style>
  <w:style w:type="character" w:customStyle="1" w:styleId="50">
    <w:name w:val="批注主题 Char"/>
    <w:basedOn w:val="49"/>
    <w:link w:val="24"/>
    <w:qFormat/>
    <w:uiPriority w:val="0"/>
  </w:style>
  <w:style w:type="character" w:customStyle="1" w:styleId="51">
    <w:name w:val="文档结构图 Char"/>
    <w:basedOn w:val="27"/>
    <w:link w:val="13"/>
    <w:qFormat/>
    <w:uiPriority w:val="0"/>
    <w:rPr>
      <w:rFonts w:ascii="宋体" w:hAnsi="Calibri"/>
      <w:kern w:val="2"/>
      <w:sz w:val="18"/>
      <w:szCs w:val="18"/>
    </w:rPr>
  </w:style>
  <w:style w:type="paragraph" w:customStyle="1" w:styleId="52">
    <w:name w:val="yq标题3"/>
    <w:basedOn w:val="53"/>
    <w:qFormat/>
    <w:uiPriority w:val="0"/>
    <w:pPr>
      <w:numPr>
        <w:ilvl w:val="2"/>
      </w:numPr>
      <w:ind w:left="0"/>
      <w:outlineLvl w:val="2"/>
    </w:pPr>
  </w:style>
  <w:style w:type="paragraph" w:customStyle="1" w:styleId="53">
    <w:name w:val="yq标题2"/>
    <w:basedOn w:val="5"/>
    <w:qFormat/>
    <w:uiPriority w:val="0"/>
    <w:pPr>
      <w:numPr>
        <w:ilvl w:val="1"/>
        <w:numId w:val="7"/>
      </w:numPr>
      <w:ind w:left="0" w:hanging="270" w:hangingChars="270"/>
    </w:pPr>
    <w:rPr>
      <w:b w:val="0"/>
      <w:sz w:val="21"/>
      <w:szCs w:val="21"/>
    </w:rPr>
  </w:style>
  <w:style w:type="paragraph" w:styleId="54">
    <w:name w:val="List Paragraph"/>
    <w:basedOn w:val="1"/>
    <w:qFormat/>
    <w:uiPriority w:val="1"/>
    <w:pPr>
      <w:ind w:firstLine="420"/>
    </w:pPr>
  </w:style>
  <w:style w:type="paragraph" w:customStyle="1" w:styleId="55">
    <w:name w:val="附录正文2"/>
    <w:basedOn w:val="1"/>
    <w:qFormat/>
    <w:uiPriority w:val="0"/>
    <w:pPr>
      <w:numPr>
        <w:ilvl w:val="3"/>
        <w:numId w:val="8"/>
      </w:numPr>
      <w:spacing w:line="560" w:lineRule="exact"/>
      <w:ind w:left="0" w:firstLine="420" w:firstLineChars="200"/>
    </w:pPr>
    <w:rPr>
      <w:rFonts w:hint="eastAsia" w:ascii="宋体" w:hAnsi="宋体" w:cs="宋体"/>
      <w:sz w:val="24"/>
    </w:rPr>
  </w:style>
  <w:style w:type="character" w:customStyle="1" w:styleId="56">
    <w:name w:val="标题 5 Char"/>
    <w:basedOn w:val="27"/>
    <w:link w:val="7"/>
    <w:qFormat/>
    <w:uiPriority w:val="0"/>
    <w:rPr>
      <w:b/>
      <w:kern w:val="2"/>
      <w:sz w:val="28"/>
      <w:szCs w:val="24"/>
    </w:rPr>
  </w:style>
  <w:style w:type="character" w:customStyle="1" w:styleId="57">
    <w:name w:val="标题 6 Char"/>
    <w:basedOn w:val="27"/>
    <w:link w:val="8"/>
    <w:qFormat/>
    <w:uiPriority w:val="0"/>
    <w:rPr>
      <w:rFonts w:ascii="Arial" w:hAnsi="Arial" w:eastAsia="黑体"/>
      <w:b/>
      <w:kern w:val="2"/>
      <w:sz w:val="24"/>
      <w:szCs w:val="24"/>
    </w:rPr>
  </w:style>
  <w:style w:type="character" w:customStyle="1" w:styleId="58">
    <w:name w:val="标题 7 Char"/>
    <w:basedOn w:val="27"/>
    <w:link w:val="9"/>
    <w:qFormat/>
    <w:uiPriority w:val="0"/>
    <w:rPr>
      <w:b/>
      <w:kern w:val="2"/>
      <w:sz w:val="24"/>
      <w:szCs w:val="24"/>
    </w:rPr>
  </w:style>
  <w:style w:type="character" w:customStyle="1" w:styleId="59">
    <w:name w:val="标题 8 Char"/>
    <w:basedOn w:val="27"/>
    <w:link w:val="10"/>
    <w:qFormat/>
    <w:uiPriority w:val="0"/>
    <w:rPr>
      <w:rFonts w:ascii="Arial" w:hAnsi="Arial" w:eastAsia="黑体"/>
      <w:kern w:val="2"/>
      <w:sz w:val="24"/>
      <w:szCs w:val="24"/>
    </w:rPr>
  </w:style>
  <w:style w:type="character" w:customStyle="1" w:styleId="60">
    <w:name w:val="标题 9 Char"/>
    <w:basedOn w:val="27"/>
    <w:link w:val="11"/>
    <w:qFormat/>
    <w:uiPriority w:val="0"/>
    <w:rPr>
      <w:rFonts w:ascii="Arial" w:hAnsi="Arial" w:eastAsia="黑体"/>
      <w:kern w:val="2"/>
      <w:sz w:val="21"/>
      <w:szCs w:val="24"/>
    </w:rPr>
  </w:style>
  <w:style w:type="paragraph" w:customStyle="1" w:styleId="61">
    <w:name w:val="附录正文1"/>
    <w:basedOn w:val="1"/>
    <w:qFormat/>
    <w:uiPriority w:val="0"/>
    <w:pPr>
      <w:spacing w:line="560" w:lineRule="exact"/>
      <w:ind w:firstLine="420" w:firstLineChars="200"/>
    </w:pPr>
    <w:rPr>
      <w:rFonts w:hint="eastAsia" w:ascii="宋体" w:hAnsi="宋体" w:cs="宋体"/>
      <w:sz w:val="24"/>
    </w:rPr>
  </w:style>
  <w:style w:type="paragraph" w:customStyle="1" w:styleId="62">
    <w:name w:val="附录标题1"/>
    <w:basedOn w:val="1"/>
    <w:qFormat/>
    <w:uiPriority w:val="0"/>
    <w:pPr>
      <w:spacing w:line="560" w:lineRule="exact"/>
      <w:ind w:firstLine="420" w:firstLineChars="200"/>
    </w:pPr>
    <w:rPr>
      <w:rFonts w:hint="eastAsia" w:ascii="宋体" w:hAnsi="宋体" w:cs="宋体"/>
      <w:b/>
      <w:sz w:val="24"/>
      <w:szCs w:val="28"/>
    </w:rPr>
  </w:style>
  <w:style w:type="paragraph" w:customStyle="1" w:styleId="63">
    <w:name w:val="附录标题"/>
    <w:basedOn w:val="1"/>
    <w:next w:val="4"/>
    <w:qFormat/>
    <w:uiPriority w:val="0"/>
    <w:pPr>
      <w:tabs>
        <w:tab w:val="left" w:pos="0"/>
      </w:tabs>
      <w:spacing w:line="560" w:lineRule="exact"/>
      <w:ind w:left="432" w:hanging="432"/>
      <w:jc w:val="center"/>
      <w:outlineLvl w:val="0"/>
    </w:pPr>
    <w:rPr>
      <w:rFonts w:hint="eastAsia" w:ascii="宋体" w:hAnsi="宋体" w:cs="宋体"/>
      <w:b/>
      <w:bCs/>
      <w:sz w:val="24"/>
      <w:szCs w:val="21"/>
    </w:rPr>
  </w:style>
  <w:style w:type="character" w:customStyle="1" w:styleId="64">
    <w:name w:val="标题 3 Char"/>
    <w:basedOn w:val="27"/>
    <w:link w:val="6"/>
    <w:qFormat/>
    <w:uiPriority w:val="0"/>
    <w:rPr>
      <w:rFonts w:hint="default" w:ascii="Calibri" w:hAnsi="Calibri" w:cs="Calibri"/>
      <w:b/>
      <w:kern w:val="2"/>
      <w:sz w:val="32"/>
      <w:szCs w:val="32"/>
    </w:rPr>
  </w:style>
  <w:style w:type="paragraph" w:customStyle="1" w:styleId="65">
    <w:name w:val="细则1级"/>
    <w:basedOn w:val="1"/>
    <w:qFormat/>
    <w:uiPriority w:val="0"/>
    <w:pPr>
      <w:numPr>
        <w:ilvl w:val="0"/>
        <w:numId w:val="9"/>
      </w:numPr>
    </w:pPr>
  </w:style>
  <w:style w:type="paragraph" w:customStyle="1" w:styleId="66">
    <w:name w:val="细则2级"/>
    <w:basedOn w:val="1"/>
    <w:qFormat/>
    <w:uiPriority w:val="0"/>
    <w:pPr>
      <w:numPr>
        <w:ilvl w:val="1"/>
        <w:numId w:val="9"/>
      </w:numPr>
    </w:pPr>
  </w:style>
  <w:style w:type="paragraph" w:customStyle="1" w:styleId="67">
    <w:name w:val="细则3级"/>
    <w:basedOn w:val="1"/>
    <w:qFormat/>
    <w:uiPriority w:val="0"/>
    <w:pPr>
      <w:numPr>
        <w:ilvl w:val="2"/>
        <w:numId w:val="9"/>
      </w:numPr>
    </w:pPr>
  </w:style>
  <w:style w:type="paragraph" w:customStyle="1" w:styleId="68">
    <w:name w:val="细则4级"/>
    <w:basedOn w:val="1"/>
    <w:qFormat/>
    <w:uiPriority w:val="0"/>
    <w:pPr>
      <w:numPr>
        <w:ilvl w:val="3"/>
        <w:numId w:val="9"/>
      </w:numPr>
    </w:pPr>
  </w:style>
  <w:style w:type="paragraph" w:customStyle="1" w:styleId="69">
    <w:name w:val="List Paragraph1"/>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4D0D2F-8B38-4508-B366-6E18BBA15414}">
  <ds:schemaRefs/>
</ds:datastoreItem>
</file>

<file path=docProps/app.xml><?xml version="1.0" encoding="utf-8"?>
<Properties xmlns="http://schemas.openxmlformats.org/officeDocument/2006/extended-properties" xmlns:vt="http://schemas.openxmlformats.org/officeDocument/2006/docPropsVTypes">
  <Template>Normal</Template>
  <Pages>46</Pages>
  <Words>21410</Words>
  <Characters>22501</Characters>
  <Lines>136</Lines>
  <Paragraphs>38</Paragraphs>
  <TotalTime>174</TotalTime>
  <ScaleCrop>false</ScaleCrop>
  <LinksUpToDate>false</LinksUpToDate>
  <CharactersWithSpaces>22522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2023-03-31T05:28:00Z</dcterms:created>
  <dc:creator>zhangty2</dc:creator>
  <cp:lastModifiedBy>交易中心文书</cp:lastModifiedBy>
  <cp:lastPrinted>2022-06-08T09:50:00Z</cp:lastPrinted>
  <dcterms:modified xsi:type="dcterms:W3CDTF">2025-03-21T06:34:10Z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6C5A21A941B1415C811AB14458E51E70</vt:lpwstr>
  </property>
  <property fmtid="{D5CDD505-2E9C-101B-9397-08002B2CF9AE}" pid="3" name="KSOProductBuildVer">
    <vt:lpwstr>2052-11.8.2.12085</vt:lpwstr>
  </property>
  <property fmtid="{D5CDD505-2E9C-101B-9397-08002B2CF9AE}" pid="4" name="KSOTemplateDocerSaveRecord">
    <vt:lpwstr>eyJoZGlkIjoiNTRhN2IwNTcxZjk1OGIxZmE0MDczNzBiYWRmYWQ4MjIiLCJ1c2VySWQiOiI3NzU3ODc1NjUifQ==</vt:lpwstr>
  </property>
</Properties>
</file>